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848D3D">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14:paraId="3061F601">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14:paraId="44E22DBD">
      <w:pPr>
        <w:pStyle w:val="2"/>
        <w:ind w:firstLine="600" w:firstLineChars="200"/>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1.本项目受让方应具备合格有效的独立法人资格的营业执照。</w:t>
      </w:r>
    </w:p>
    <w:p w14:paraId="095A0E42">
      <w:pPr>
        <w:pStyle w:val="2"/>
        <w:ind w:firstLine="600" w:firstLineChars="200"/>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2.本竞价项目要求受让方须具备有效的不低于三级建筑工程施工总承包资质或不低于三级钢结构工程专业承包资质、《施工企业安全生产许可证》，并在人员、设备、资金等方面具有相应的施工能力。</w:t>
      </w:r>
    </w:p>
    <w:p w14:paraId="3B65E1C5">
      <w:pPr>
        <w:pStyle w:val="2"/>
        <w:ind w:firstLine="600" w:firstLineChars="200"/>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3.受让方拟担任本拍卖项目的项目负责人（即项目经理，下同）须具备有效的不低于二级建筑工程专业注册建造师执业资格，并具备有效的安全生产考核合格证书（B证）。</w:t>
      </w:r>
    </w:p>
    <w:p w14:paraId="551D1ED0">
      <w:pPr>
        <w:keepNext w:val="0"/>
        <w:keepLines w:val="0"/>
        <w:pageBreakBefore w:val="0"/>
        <w:kinsoku/>
        <w:wordWrap/>
        <w:overflowPunct/>
        <w:topLinePunct w:val="0"/>
        <w:autoSpaceDE/>
        <w:autoSpaceDN/>
        <w:bidi w:val="0"/>
        <w:adjustRightInd/>
        <w:snapToGrid/>
        <w:spacing w:line="640" w:lineRule="exact"/>
        <w:ind w:firstLine="600" w:firstLineChars="200"/>
        <w:textAlignment w:val="auto"/>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4.是否接受联合体竞买：不接受。</w:t>
      </w:r>
    </w:p>
    <w:p w14:paraId="19AEA71D">
      <w:pPr>
        <w:rPr>
          <w:rFonts w:hint="eastAsia" w:ascii="宋体" w:hAnsi="宋体" w:eastAsia="宋体" w:cs="宋体"/>
          <w:b/>
          <w:bCs/>
          <w:sz w:val="30"/>
          <w:szCs w:val="30"/>
        </w:rPr>
      </w:pPr>
      <w:r>
        <w:rPr>
          <w:rFonts w:hint="eastAsia" w:ascii="宋体" w:hAnsi="宋体" w:eastAsia="宋体" w:cs="宋体"/>
          <w:b/>
          <w:bCs/>
          <w:sz w:val="30"/>
          <w:szCs w:val="30"/>
        </w:rPr>
        <w:t>二、应提交的材料</w:t>
      </w:r>
    </w:p>
    <w:p w14:paraId="7F8D7D85">
      <w:pPr>
        <w:numPr>
          <w:ilvl w:val="0"/>
          <w:numId w:val="1"/>
        </w:numPr>
        <w:ind w:left="0" w:leftChars="0"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统一社会信用代码证（原件校验+复印件）</w:t>
      </w:r>
      <w:r>
        <w:rPr>
          <w:rFonts w:hint="eastAsia" w:ascii="仿宋_GB2312" w:hAnsi="仿宋_GB2312" w:eastAsia="仿宋_GB2312" w:cs="仿宋_GB2312"/>
          <w:kern w:val="0"/>
          <w:sz w:val="30"/>
          <w:szCs w:val="30"/>
          <w:lang w:eastAsia="zh-CN"/>
        </w:rPr>
        <w:t>；</w:t>
      </w:r>
    </w:p>
    <w:p w14:paraId="4A3E9A6A">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有效的</w:t>
      </w:r>
      <w:r>
        <w:rPr>
          <w:rFonts w:hint="eastAsia" w:ascii="仿宋_GB2312" w:hAnsi="仿宋_GB2312" w:eastAsia="仿宋_GB2312" w:cs="仿宋_GB2312"/>
          <w:kern w:val="0"/>
          <w:sz w:val="30"/>
          <w:szCs w:val="30"/>
          <w:lang w:val="en-US" w:eastAsia="zh-CN" w:bidi="ar-SA"/>
        </w:rPr>
        <w:t>不低于三级建筑工程施工总承包资质或不低于三级钢结构工程专业承包资质</w:t>
      </w:r>
      <w:r>
        <w:rPr>
          <w:rFonts w:hint="eastAsia" w:ascii="仿宋_GB2312" w:hAnsi="仿宋_GB2312" w:eastAsia="仿宋_GB2312" w:cs="仿宋_GB2312"/>
          <w:kern w:val="0"/>
          <w:sz w:val="30"/>
          <w:szCs w:val="30"/>
          <w:lang w:val="en-US" w:eastAsia="zh-CN"/>
        </w:rPr>
        <w:t>、《施工企业安全生产许可证》</w:t>
      </w:r>
      <w:r>
        <w:rPr>
          <w:rFonts w:hint="eastAsia" w:ascii="仿宋_GB2312" w:hAnsi="仿宋_GB2312" w:eastAsia="仿宋_GB2312" w:cs="仿宋_GB2312"/>
          <w:kern w:val="0"/>
          <w:sz w:val="30"/>
          <w:szCs w:val="30"/>
          <w:lang w:eastAsia="zh-CN"/>
        </w:rPr>
        <w:t>；</w:t>
      </w:r>
    </w:p>
    <w:p w14:paraId="6372EFED">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项目负责人须具备有效的不低于二级建筑工程专业注册建造师执业资格，并具备有效的安全生产考核合格证书（B证）；</w:t>
      </w:r>
    </w:p>
    <w:p w14:paraId="2A573B86">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14:paraId="2BBCC5D1">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企业法人身份证（复印件）</w:t>
      </w:r>
      <w:r>
        <w:rPr>
          <w:rFonts w:hint="eastAsia" w:ascii="仿宋_GB2312" w:hAnsi="仿宋_GB2312" w:eastAsia="仿宋_GB2312" w:cs="仿宋_GB2312"/>
          <w:kern w:val="0"/>
          <w:sz w:val="30"/>
          <w:szCs w:val="30"/>
          <w:lang w:eastAsia="zh-CN"/>
        </w:rPr>
        <w:t>；</w:t>
      </w:r>
    </w:p>
    <w:p w14:paraId="56C291C8">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被委托人身份证（原件校验+复印件）</w:t>
      </w:r>
      <w:r>
        <w:rPr>
          <w:rFonts w:hint="eastAsia" w:ascii="仿宋_GB2312" w:hAnsi="仿宋_GB2312" w:eastAsia="仿宋_GB2312" w:cs="仿宋_GB2312"/>
          <w:kern w:val="0"/>
          <w:sz w:val="30"/>
          <w:szCs w:val="30"/>
          <w:lang w:eastAsia="zh-CN"/>
        </w:rPr>
        <w:t>；</w:t>
      </w:r>
    </w:p>
    <w:p w14:paraId="184C2E23">
      <w:pPr>
        <w:numPr>
          <w:ilvl w:val="0"/>
          <w:numId w:val="1"/>
        </w:numPr>
        <w:ind w:left="0" w:leftChars="0" w:firstLine="600" w:firstLineChars="200"/>
        <w:rPr>
          <w:rFonts w:ascii="仿宋_GB2312" w:hAnsi="仿宋_GB2312" w:eastAsia="仿宋_GB2312" w:cs="仿宋_GB2312"/>
          <w:kern w:val="0"/>
          <w:sz w:val="30"/>
          <w:szCs w:val="30"/>
        </w:rPr>
      </w:pP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lang w:eastAsia="zh-CN"/>
        </w:rPr>
        <w:t>；</w:t>
      </w:r>
    </w:p>
    <w:p w14:paraId="2C3F68C0">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r>
        <w:rPr>
          <w:rFonts w:hint="eastAsia" w:ascii="仿宋_GB2312" w:hAnsi="仿宋_GB2312" w:eastAsia="仿宋_GB2312" w:cs="仿宋_GB2312"/>
          <w:kern w:val="0"/>
          <w:sz w:val="30"/>
          <w:szCs w:val="30"/>
          <w:lang w:eastAsia="zh-CN"/>
        </w:rPr>
        <w:t>；</w:t>
      </w:r>
    </w:p>
    <w:p w14:paraId="5E393B42">
      <w:pPr>
        <w:rPr>
          <w:rFonts w:hint="eastAsia" w:ascii="宋体" w:hAnsi="宋体" w:eastAsia="宋体" w:cs="宋体"/>
          <w:b/>
          <w:bCs/>
          <w:sz w:val="30"/>
          <w:szCs w:val="30"/>
          <w:lang w:val="en-US" w:eastAsia="zh-CN"/>
        </w:rPr>
      </w:pPr>
      <w:bookmarkStart w:id="0" w:name="_GoBack"/>
      <w:bookmarkEnd w:id="0"/>
      <w:r>
        <w:rPr>
          <w:rFonts w:hint="eastAsia" w:ascii="宋体" w:hAnsi="宋体" w:eastAsia="宋体" w:cs="宋体"/>
          <w:b/>
          <w:bCs/>
          <w:sz w:val="30"/>
          <w:szCs w:val="30"/>
          <w:lang w:val="en-US" w:eastAsia="zh-CN"/>
        </w:rPr>
        <w:t>三、转账信息</w:t>
      </w:r>
    </w:p>
    <w:p w14:paraId="797C7419">
      <w:pPr>
        <w:ind w:firstLine="600" w:firstLineChars="200"/>
        <w:rPr>
          <w:rFonts w:hint="eastAsia" w:ascii="仿宋_GB2312" w:eastAsia="仿宋_GB2312"/>
          <w:sz w:val="30"/>
          <w:szCs w:val="30"/>
        </w:rPr>
      </w:pPr>
      <w:r>
        <w:rPr>
          <w:rFonts w:hint="eastAsia" w:ascii="仿宋_GB2312" w:eastAsia="仿宋_GB2312"/>
          <w:sz w:val="30"/>
          <w:szCs w:val="30"/>
        </w:rPr>
        <w:t>开户名称：南平市产权交易有限公司</w:t>
      </w:r>
    </w:p>
    <w:p w14:paraId="01AF3A26">
      <w:pPr>
        <w:ind w:firstLine="600" w:firstLineChars="200"/>
        <w:rPr>
          <w:rFonts w:hint="eastAsia" w:ascii="仿宋_GB2312" w:eastAsia="仿宋_GB2312"/>
          <w:sz w:val="30"/>
          <w:szCs w:val="30"/>
          <w:lang w:eastAsia="zh-CN"/>
        </w:rPr>
      </w:pPr>
      <w:r>
        <w:rPr>
          <w:rFonts w:hint="eastAsia" w:ascii="仿宋_GB2312" w:eastAsia="仿宋_GB2312"/>
          <w:sz w:val="30"/>
          <w:szCs w:val="30"/>
        </w:rPr>
        <w:t>开户银行：</w:t>
      </w:r>
      <w:r>
        <w:rPr>
          <w:rFonts w:hint="eastAsia" w:ascii="仿宋_GB2312" w:eastAsia="仿宋_GB2312"/>
          <w:sz w:val="30"/>
          <w:szCs w:val="30"/>
          <w:lang w:eastAsia="zh-CN"/>
        </w:rPr>
        <w:t>厦门银行股份有限公司南平分行营业部</w:t>
      </w:r>
    </w:p>
    <w:p w14:paraId="06A765D7">
      <w:pPr>
        <w:ind w:firstLine="600" w:firstLineChars="200"/>
        <w:rPr>
          <w:rFonts w:hint="eastAsia" w:ascii="仿宋_GB2312" w:eastAsia="仿宋_GB2312"/>
          <w:sz w:val="30"/>
          <w:szCs w:val="30"/>
        </w:rPr>
      </w:pPr>
      <w:r>
        <w:rPr>
          <w:rFonts w:hint="eastAsia" w:ascii="仿宋_GB2312" w:eastAsia="仿宋_GB2312"/>
          <w:sz w:val="30"/>
          <w:szCs w:val="30"/>
        </w:rPr>
        <w:t>开户账号：8070</w:t>
      </w:r>
      <w:r>
        <w:rPr>
          <w:rFonts w:hint="eastAsia" w:ascii="仿宋_GB2312" w:eastAsia="仿宋_GB2312"/>
          <w:sz w:val="30"/>
          <w:szCs w:val="30"/>
          <w:lang w:val="en-US" w:eastAsia="zh-CN"/>
        </w:rPr>
        <w:t xml:space="preserve"> </w:t>
      </w:r>
      <w:r>
        <w:rPr>
          <w:rFonts w:hint="eastAsia" w:ascii="仿宋_GB2312" w:eastAsia="仿宋_GB2312"/>
          <w:sz w:val="30"/>
          <w:szCs w:val="30"/>
        </w:rPr>
        <w:t>2716</w:t>
      </w:r>
      <w:r>
        <w:rPr>
          <w:rFonts w:hint="eastAsia" w:ascii="仿宋_GB2312" w:eastAsia="仿宋_GB2312"/>
          <w:sz w:val="30"/>
          <w:szCs w:val="30"/>
          <w:lang w:val="en-US" w:eastAsia="zh-CN"/>
        </w:rPr>
        <w:t xml:space="preserve"> </w:t>
      </w:r>
      <w:r>
        <w:rPr>
          <w:rFonts w:hint="eastAsia" w:ascii="仿宋_GB2312" w:eastAsia="仿宋_GB2312"/>
          <w:sz w:val="30"/>
          <w:szCs w:val="30"/>
        </w:rPr>
        <w:t>0000</w:t>
      </w:r>
      <w:r>
        <w:rPr>
          <w:rFonts w:hint="eastAsia" w:ascii="仿宋_GB2312" w:eastAsia="仿宋_GB2312"/>
          <w:sz w:val="30"/>
          <w:szCs w:val="30"/>
          <w:lang w:val="en-US" w:eastAsia="zh-CN"/>
        </w:rPr>
        <w:t xml:space="preserve"> </w:t>
      </w:r>
      <w:r>
        <w:rPr>
          <w:rFonts w:hint="eastAsia" w:ascii="仿宋_GB2312" w:eastAsia="仿宋_GB2312"/>
          <w:sz w:val="30"/>
          <w:szCs w:val="30"/>
        </w:rPr>
        <w:t>06</w:t>
      </w:r>
    </w:p>
    <w:p w14:paraId="29FDEA23">
      <w:pPr>
        <w:numPr>
          <w:ilvl w:val="0"/>
          <w:numId w:val="0"/>
        </w:numPr>
        <w:rPr>
          <w:rFonts w:hint="eastAsia" w:ascii="宋体" w:hAnsi="宋体" w:eastAsia="宋体" w:cs="宋体"/>
          <w:b/>
          <w:bCs/>
          <w:sz w:val="30"/>
          <w:szCs w:val="30"/>
          <w:lang w:val="en-US" w:eastAsia="zh-CN"/>
        </w:rPr>
      </w:pPr>
      <w:r>
        <w:rPr>
          <w:rFonts w:hint="eastAsia" w:ascii="宋体" w:hAnsi="宋体" w:eastAsia="宋体" w:cs="宋体"/>
          <w:b/>
          <w:bCs/>
          <w:kern w:val="2"/>
          <w:sz w:val="30"/>
          <w:szCs w:val="30"/>
          <w:lang w:val="en-US" w:eastAsia="zh-CN" w:bidi="ar-SA"/>
        </w:rPr>
        <w:t>四、</w:t>
      </w:r>
      <w:r>
        <w:rPr>
          <w:rFonts w:hint="eastAsia" w:ascii="宋体" w:hAnsi="宋体" w:eastAsia="宋体" w:cs="宋体"/>
          <w:b/>
          <w:bCs/>
          <w:sz w:val="30"/>
          <w:szCs w:val="30"/>
          <w:lang w:val="en-US" w:eastAsia="zh-CN"/>
        </w:rPr>
        <w:t>保证金</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4025"/>
        <w:gridCol w:w="1371"/>
        <w:gridCol w:w="1204"/>
        <w:gridCol w:w="927"/>
      </w:tblGrid>
      <w:tr w14:paraId="53DF2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582" w:type="pct"/>
            <w:tcBorders>
              <w:top w:val="single" w:color="auto" w:sz="4" w:space="0"/>
              <w:left w:val="single" w:color="auto" w:sz="4" w:space="0"/>
              <w:bottom w:val="single" w:color="auto" w:sz="4" w:space="0"/>
              <w:right w:val="single" w:color="auto" w:sz="4" w:space="0"/>
            </w:tcBorders>
            <w:noWrap w:val="0"/>
            <w:vAlign w:val="center"/>
          </w:tcPr>
          <w:p w14:paraId="4291DE28">
            <w:pPr>
              <w:spacing w:line="400" w:lineRule="exact"/>
              <w:jc w:val="center"/>
              <w:rPr>
                <w:rFonts w:hint="eastAsia" w:ascii="仿宋_GB2312" w:eastAsia="仿宋_GB2312"/>
                <w:sz w:val="24"/>
              </w:rPr>
            </w:pPr>
            <w:r>
              <w:rPr>
                <w:rFonts w:hint="eastAsia" w:ascii="仿宋_GB2312" w:eastAsia="仿宋_GB2312"/>
                <w:sz w:val="24"/>
              </w:rPr>
              <w:t>序号</w:t>
            </w:r>
          </w:p>
        </w:tc>
        <w:tc>
          <w:tcPr>
            <w:tcW w:w="2361" w:type="pct"/>
            <w:tcBorders>
              <w:top w:val="single" w:color="auto" w:sz="4" w:space="0"/>
              <w:left w:val="single" w:color="auto" w:sz="4" w:space="0"/>
              <w:bottom w:val="single" w:color="auto" w:sz="4" w:space="0"/>
              <w:right w:val="single" w:color="auto" w:sz="4" w:space="0"/>
            </w:tcBorders>
            <w:noWrap w:val="0"/>
            <w:vAlign w:val="center"/>
          </w:tcPr>
          <w:p w14:paraId="72E7B428">
            <w:pPr>
              <w:spacing w:line="400" w:lineRule="exact"/>
              <w:jc w:val="center"/>
              <w:rPr>
                <w:rFonts w:hint="eastAsia" w:ascii="仿宋_GB2312" w:eastAsia="仿宋_GB2312"/>
                <w:sz w:val="24"/>
              </w:rPr>
            </w:pPr>
            <w:r>
              <w:rPr>
                <w:rFonts w:hint="eastAsia" w:ascii="仿宋_GB2312" w:eastAsia="仿宋_GB2312"/>
                <w:sz w:val="24"/>
              </w:rPr>
              <w:t>标的及项目编号</w:t>
            </w:r>
          </w:p>
        </w:tc>
        <w:tc>
          <w:tcPr>
            <w:tcW w:w="804" w:type="pct"/>
            <w:tcBorders>
              <w:top w:val="single" w:color="auto" w:sz="4" w:space="0"/>
              <w:left w:val="single" w:color="auto" w:sz="4" w:space="0"/>
              <w:bottom w:val="single" w:color="auto" w:sz="4" w:space="0"/>
              <w:right w:val="single" w:color="auto" w:sz="4" w:space="0"/>
            </w:tcBorders>
            <w:noWrap w:val="0"/>
            <w:vAlign w:val="center"/>
          </w:tcPr>
          <w:p w14:paraId="366BEBC5">
            <w:pPr>
              <w:spacing w:line="400" w:lineRule="exact"/>
              <w:jc w:val="center"/>
              <w:rPr>
                <w:rFonts w:ascii="仿宋_GB2312" w:eastAsia="仿宋_GB2312"/>
                <w:sz w:val="24"/>
              </w:rPr>
            </w:pPr>
            <w:r>
              <w:rPr>
                <w:rFonts w:hint="eastAsia" w:ascii="仿宋_GB2312" w:eastAsia="仿宋_GB2312"/>
                <w:sz w:val="24"/>
              </w:rPr>
              <w:t>挂牌价（元）</w:t>
            </w:r>
          </w:p>
        </w:tc>
        <w:tc>
          <w:tcPr>
            <w:tcW w:w="706" w:type="pct"/>
            <w:tcBorders>
              <w:top w:val="single" w:color="auto" w:sz="4" w:space="0"/>
              <w:left w:val="single" w:color="auto" w:sz="4" w:space="0"/>
              <w:bottom w:val="single" w:color="auto" w:sz="4" w:space="0"/>
              <w:right w:val="single" w:color="auto" w:sz="4" w:space="0"/>
            </w:tcBorders>
            <w:noWrap w:val="0"/>
            <w:vAlign w:val="center"/>
          </w:tcPr>
          <w:p w14:paraId="0AE647F0">
            <w:pPr>
              <w:spacing w:line="400" w:lineRule="exact"/>
              <w:jc w:val="center"/>
              <w:rPr>
                <w:rFonts w:ascii="仿宋_GB2312" w:eastAsia="仿宋_GB2312"/>
                <w:sz w:val="24"/>
              </w:rPr>
            </w:pPr>
            <w:r>
              <w:rPr>
                <w:rFonts w:hint="eastAsia" w:ascii="仿宋_GB2312" w:eastAsia="仿宋_GB2312"/>
                <w:sz w:val="24"/>
              </w:rPr>
              <w:t>竞价保证金（元）</w:t>
            </w:r>
          </w:p>
        </w:tc>
        <w:tc>
          <w:tcPr>
            <w:tcW w:w="544" w:type="pct"/>
            <w:tcBorders>
              <w:top w:val="single" w:color="auto" w:sz="4" w:space="0"/>
              <w:left w:val="single" w:color="auto" w:sz="4" w:space="0"/>
              <w:bottom w:val="single" w:color="auto" w:sz="4" w:space="0"/>
              <w:right w:val="single" w:color="auto" w:sz="4" w:space="0"/>
            </w:tcBorders>
            <w:noWrap w:val="0"/>
            <w:vAlign w:val="center"/>
          </w:tcPr>
          <w:p w14:paraId="4CB71741">
            <w:pPr>
              <w:spacing w:line="400" w:lineRule="exact"/>
              <w:jc w:val="center"/>
              <w:rPr>
                <w:rFonts w:ascii="仿宋_GB2312" w:eastAsia="仿宋_GB2312"/>
                <w:sz w:val="24"/>
              </w:rPr>
            </w:pPr>
            <w:r>
              <w:rPr>
                <w:rFonts w:hint="eastAsia" w:ascii="仿宋_GB2312" w:eastAsia="仿宋_GB2312"/>
                <w:sz w:val="24"/>
              </w:rPr>
              <w:t>竞价方式</w:t>
            </w:r>
          </w:p>
        </w:tc>
      </w:tr>
      <w:tr w14:paraId="58266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582" w:type="pct"/>
            <w:vMerge w:val="restart"/>
            <w:tcBorders>
              <w:top w:val="single" w:color="auto" w:sz="4" w:space="0"/>
              <w:left w:val="single" w:color="auto" w:sz="4" w:space="0"/>
              <w:right w:val="single" w:color="auto" w:sz="4" w:space="0"/>
            </w:tcBorders>
            <w:noWrap w:val="0"/>
            <w:vAlign w:val="center"/>
          </w:tcPr>
          <w:p w14:paraId="098721B0">
            <w:pPr>
              <w:spacing w:line="520" w:lineRule="exact"/>
              <w:jc w:val="center"/>
              <w:rPr>
                <w:rFonts w:ascii="仿宋_GB2312" w:eastAsia="仿宋_GB2312"/>
                <w:b/>
                <w:bCs/>
                <w:color w:val="222222"/>
                <w:sz w:val="24"/>
              </w:rPr>
            </w:pPr>
            <w:r>
              <w:rPr>
                <w:rFonts w:hint="eastAsia" w:ascii="仿宋_GB2312" w:eastAsia="仿宋_GB2312"/>
                <w:b/>
                <w:bCs/>
                <w:color w:val="222222"/>
                <w:sz w:val="24"/>
              </w:rPr>
              <w:t>标的一</w:t>
            </w:r>
          </w:p>
        </w:tc>
        <w:tc>
          <w:tcPr>
            <w:tcW w:w="4025" w:type="dxa"/>
            <w:tcBorders>
              <w:top w:val="single" w:color="auto" w:sz="4" w:space="0"/>
              <w:left w:val="single" w:color="auto" w:sz="4" w:space="0"/>
              <w:bottom w:val="single" w:color="auto" w:sz="4" w:space="0"/>
              <w:right w:val="single" w:color="auto" w:sz="4" w:space="0"/>
            </w:tcBorders>
            <w:noWrap w:val="0"/>
            <w:vAlign w:val="center"/>
          </w:tcPr>
          <w:p w14:paraId="5C822F59">
            <w:pPr>
              <w:spacing w:line="400" w:lineRule="exact"/>
              <w:jc w:val="center"/>
              <w:outlineLvl w:val="9"/>
              <w:rPr>
                <w:rFonts w:hint="eastAsia" w:ascii="仿宋_GB2312" w:eastAsia="仿宋_GB2312"/>
                <w:bCs/>
                <w:color w:val="222222"/>
                <w:sz w:val="24"/>
                <w:lang w:eastAsia="zh-CN"/>
              </w:rPr>
            </w:pPr>
            <w:r>
              <w:rPr>
                <w:rFonts w:hint="eastAsia" w:ascii="仿宋_GB2312" w:eastAsia="仿宋_GB2312"/>
                <w:bCs/>
                <w:color w:val="222222"/>
                <w:sz w:val="24"/>
                <w:lang w:eastAsia="zh-CN"/>
              </w:rPr>
              <w:t>武夷新区海西林产工贸城（原福建恒兴木业有限公司）地面建筑物及苗木拆除残值整体转让</w:t>
            </w:r>
          </w:p>
        </w:tc>
        <w:tc>
          <w:tcPr>
            <w:tcW w:w="1371" w:type="dxa"/>
            <w:vMerge w:val="restart"/>
            <w:tcBorders>
              <w:top w:val="single" w:color="auto" w:sz="4" w:space="0"/>
              <w:left w:val="single" w:color="auto" w:sz="4" w:space="0"/>
              <w:right w:val="single" w:color="auto" w:sz="4" w:space="0"/>
            </w:tcBorders>
            <w:noWrap w:val="0"/>
            <w:vAlign w:val="center"/>
          </w:tcPr>
          <w:p w14:paraId="6DA21CA3">
            <w:pPr>
              <w:spacing w:line="520" w:lineRule="exact"/>
              <w:jc w:val="center"/>
              <w:outlineLvl w:val="9"/>
              <w:rPr>
                <w:rFonts w:hint="default" w:ascii="仿宋_GB2312" w:eastAsia="仿宋_GB2312"/>
                <w:sz w:val="24"/>
                <w:lang w:val="en-US" w:eastAsia="zh-CN"/>
              </w:rPr>
            </w:pPr>
            <w:r>
              <w:rPr>
                <w:rFonts w:hint="eastAsia" w:ascii="仿宋_GB2312" w:eastAsia="仿宋_GB2312"/>
                <w:sz w:val="24"/>
                <w:lang w:val="en-US" w:eastAsia="zh-CN"/>
              </w:rPr>
              <w:t>380000（不含税）</w:t>
            </w:r>
          </w:p>
        </w:tc>
        <w:tc>
          <w:tcPr>
            <w:tcW w:w="1204" w:type="dxa"/>
            <w:vMerge w:val="restart"/>
            <w:tcBorders>
              <w:top w:val="single" w:color="auto" w:sz="4" w:space="0"/>
              <w:left w:val="single" w:color="auto" w:sz="4" w:space="0"/>
              <w:right w:val="single" w:color="auto" w:sz="4" w:space="0"/>
            </w:tcBorders>
            <w:noWrap w:val="0"/>
            <w:vAlign w:val="center"/>
          </w:tcPr>
          <w:p w14:paraId="369DC76F">
            <w:pPr>
              <w:spacing w:line="520" w:lineRule="exact"/>
              <w:jc w:val="center"/>
              <w:outlineLvl w:val="9"/>
              <w:rPr>
                <w:rFonts w:hint="default" w:ascii="仿宋_GB2312" w:eastAsia="仿宋_GB2312"/>
                <w:sz w:val="24"/>
                <w:lang w:val="en-US" w:eastAsia="zh-CN"/>
              </w:rPr>
            </w:pPr>
            <w:r>
              <w:rPr>
                <w:rFonts w:hint="eastAsia" w:ascii="仿宋_GB2312" w:eastAsia="仿宋_GB2312"/>
                <w:sz w:val="24"/>
                <w:lang w:val="en-US" w:eastAsia="zh-CN"/>
              </w:rPr>
              <w:t>100000</w:t>
            </w:r>
          </w:p>
        </w:tc>
        <w:tc>
          <w:tcPr>
            <w:tcW w:w="544" w:type="pct"/>
            <w:vMerge w:val="restart"/>
            <w:tcBorders>
              <w:top w:val="single" w:color="auto" w:sz="4" w:space="0"/>
              <w:left w:val="single" w:color="auto" w:sz="4" w:space="0"/>
              <w:right w:val="single" w:color="auto" w:sz="4" w:space="0"/>
            </w:tcBorders>
            <w:noWrap w:val="0"/>
            <w:vAlign w:val="center"/>
          </w:tcPr>
          <w:p w14:paraId="14CA655C">
            <w:pPr>
              <w:spacing w:line="400" w:lineRule="exact"/>
              <w:jc w:val="center"/>
              <w:rPr>
                <w:rFonts w:ascii="仿宋_GB2312" w:eastAsia="仿宋_GB2312"/>
                <w:b/>
                <w:sz w:val="24"/>
              </w:rPr>
            </w:pPr>
            <w:r>
              <w:rPr>
                <w:rFonts w:hint="eastAsia" w:ascii="仿宋_GB2312" w:eastAsia="仿宋_GB2312"/>
                <w:sz w:val="24"/>
              </w:rPr>
              <w:t>网络动态报价</w:t>
            </w:r>
          </w:p>
        </w:tc>
      </w:tr>
      <w:tr w14:paraId="15AFB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582" w:type="pct"/>
            <w:vMerge w:val="continue"/>
            <w:tcBorders>
              <w:left w:val="single" w:color="auto" w:sz="4" w:space="0"/>
              <w:right w:val="single" w:color="auto" w:sz="4" w:space="0"/>
            </w:tcBorders>
            <w:noWrap w:val="0"/>
            <w:vAlign w:val="center"/>
          </w:tcPr>
          <w:p w14:paraId="7F909ED3">
            <w:pPr>
              <w:spacing w:line="520" w:lineRule="exact"/>
              <w:jc w:val="center"/>
              <w:rPr>
                <w:rFonts w:hint="eastAsia" w:ascii="仿宋_GB2312" w:eastAsia="仿宋_GB2312"/>
                <w:b/>
                <w:bCs/>
                <w:color w:val="222222"/>
                <w:sz w:val="24"/>
              </w:rPr>
            </w:pPr>
          </w:p>
        </w:tc>
        <w:tc>
          <w:tcPr>
            <w:tcW w:w="4025" w:type="dxa"/>
            <w:tcBorders>
              <w:top w:val="single" w:color="auto" w:sz="4" w:space="0"/>
              <w:left w:val="single" w:color="auto" w:sz="4" w:space="0"/>
              <w:bottom w:val="single" w:color="auto" w:sz="4" w:space="0"/>
              <w:right w:val="single" w:color="auto" w:sz="4" w:space="0"/>
            </w:tcBorders>
            <w:noWrap w:val="0"/>
            <w:vAlign w:val="center"/>
          </w:tcPr>
          <w:p w14:paraId="6248199F">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eastAsia="仿宋_GB2312"/>
                <w:bCs/>
                <w:color w:val="222222"/>
                <w:sz w:val="24"/>
                <w:lang w:eastAsia="zh-CN"/>
              </w:rPr>
            </w:pPr>
            <w:r>
              <w:rPr>
                <w:rFonts w:hint="eastAsia" w:ascii="仿宋_GB2312" w:eastAsia="仿宋_GB2312"/>
                <w:bCs/>
                <w:color w:val="222222"/>
                <w:sz w:val="24"/>
                <w:lang w:eastAsia="zh-CN"/>
              </w:rPr>
              <w:t>NPCJ(J)20240722-A138</w:t>
            </w:r>
          </w:p>
        </w:tc>
        <w:tc>
          <w:tcPr>
            <w:tcW w:w="804" w:type="pct"/>
            <w:vMerge w:val="continue"/>
            <w:tcBorders>
              <w:left w:val="single" w:color="auto" w:sz="4" w:space="0"/>
              <w:right w:val="single" w:color="auto" w:sz="4" w:space="0"/>
            </w:tcBorders>
            <w:noWrap w:val="0"/>
            <w:vAlign w:val="center"/>
          </w:tcPr>
          <w:p w14:paraId="7BA05ED1">
            <w:pPr>
              <w:spacing w:line="520" w:lineRule="exact"/>
              <w:jc w:val="center"/>
              <w:rPr>
                <w:rFonts w:hint="eastAsia" w:ascii="仿宋_GB2312" w:eastAsia="仿宋_GB2312"/>
                <w:sz w:val="24"/>
              </w:rPr>
            </w:pPr>
          </w:p>
        </w:tc>
        <w:tc>
          <w:tcPr>
            <w:tcW w:w="706" w:type="pct"/>
            <w:vMerge w:val="continue"/>
            <w:tcBorders>
              <w:left w:val="single" w:color="auto" w:sz="4" w:space="0"/>
              <w:right w:val="single" w:color="auto" w:sz="4" w:space="0"/>
            </w:tcBorders>
            <w:noWrap w:val="0"/>
            <w:vAlign w:val="center"/>
          </w:tcPr>
          <w:p w14:paraId="5BA1D14A">
            <w:pPr>
              <w:spacing w:line="520" w:lineRule="exact"/>
              <w:jc w:val="center"/>
              <w:rPr>
                <w:rFonts w:hint="eastAsia" w:ascii="仿宋_GB2312" w:eastAsia="仿宋_GB2312"/>
                <w:sz w:val="24"/>
              </w:rPr>
            </w:pPr>
          </w:p>
        </w:tc>
        <w:tc>
          <w:tcPr>
            <w:tcW w:w="544" w:type="pct"/>
            <w:vMerge w:val="continue"/>
            <w:tcBorders>
              <w:left w:val="single" w:color="auto" w:sz="4" w:space="0"/>
              <w:right w:val="single" w:color="auto" w:sz="4" w:space="0"/>
            </w:tcBorders>
            <w:noWrap w:val="0"/>
            <w:vAlign w:val="center"/>
          </w:tcPr>
          <w:p w14:paraId="4E7425B0">
            <w:pPr>
              <w:spacing w:line="520" w:lineRule="exact"/>
              <w:jc w:val="center"/>
              <w:rPr>
                <w:rFonts w:hint="eastAsia" w:ascii="仿宋_GB2312" w:eastAsia="仿宋_GB2312"/>
                <w:sz w:val="24"/>
              </w:rPr>
            </w:pPr>
          </w:p>
        </w:tc>
      </w:tr>
    </w:tbl>
    <w:p w14:paraId="4B80EE26">
      <w:pPr>
        <w:numPr>
          <w:ilvl w:val="0"/>
          <w:numId w:val="0"/>
        </w:numPr>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五、截止时间</w:t>
      </w:r>
    </w:p>
    <w:p w14:paraId="24500A36">
      <w:pPr>
        <w:numPr>
          <w:ilvl w:val="0"/>
          <w:numId w:val="0"/>
        </w:numPr>
        <w:ind w:firstLine="600" w:firstLineChars="200"/>
        <w:rPr>
          <w:rFonts w:ascii="仿宋_GB2312" w:eastAsia="仿宋_GB2312"/>
          <w:sz w:val="30"/>
          <w:szCs w:val="30"/>
        </w:rPr>
      </w:pPr>
      <w:r>
        <w:rPr>
          <w:rFonts w:hint="eastAsia" w:ascii="仿宋_GB2312" w:hAnsi="宋体" w:eastAsia="仿宋_GB2312" w:cs="宋体"/>
          <w:color w:val="FF0000"/>
          <w:sz w:val="30"/>
          <w:szCs w:val="30"/>
        </w:rPr>
        <w:t>202</w:t>
      </w:r>
      <w:r>
        <w:rPr>
          <w:rFonts w:hint="eastAsia" w:ascii="仿宋_GB2312" w:hAnsi="宋体" w:eastAsia="仿宋_GB2312" w:cs="宋体"/>
          <w:color w:val="FF0000"/>
          <w:sz w:val="30"/>
          <w:szCs w:val="30"/>
          <w:lang w:val="en-US" w:eastAsia="zh-CN"/>
        </w:rPr>
        <w:t>4</w:t>
      </w:r>
      <w:r>
        <w:rPr>
          <w:rFonts w:hint="eastAsia" w:ascii="仿宋_GB2312" w:hAnsi="宋体" w:eastAsia="仿宋_GB2312" w:cs="宋体"/>
          <w:color w:val="FF0000"/>
          <w:sz w:val="30"/>
          <w:szCs w:val="30"/>
        </w:rPr>
        <w:t>年</w:t>
      </w:r>
      <w:r>
        <w:rPr>
          <w:rFonts w:hint="eastAsia" w:ascii="仿宋_GB2312" w:hAnsi="宋体" w:eastAsia="仿宋_GB2312" w:cs="宋体"/>
          <w:color w:val="FF0000"/>
          <w:sz w:val="30"/>
          <w:szCs w:val="30"/>
          <w:lang w:val="en-US" w:eastAsia="zh-CN"/>
        </w:rPr>
        <w:t>8</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7</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14:paraId="1198D1D1">
      <w:pPr>
        <w:ind w:firstLine="602" w:firstLineChars="200"/>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14:paraId="4EA4E60C">
      <w:pPr>
        <w:ind w:firstLine="560" w:firstLineChars="200"/>
        <w:rPr>
          <w:sz w:val="28"/>
          <w:szCs w:val="28"/>
        </w:rPr>
      </w:pPr>
    </w:p>
    <w:p w14:paraId="69CDDF34">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29C8B"/>
    <w:multiLevelType w:val="singleLevel"/>
    <w:tmpl w:val="CBF29C8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iYmJmZTEzZjE4Nzk0NDAyYzk5Y2IxZWFhM2U1Nzk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049C1C18"/>
    <w:rsid w:val="0D1F511A"/>
    <w:rsid w:val="1C0A51E7"/>
    <w:rsid w:val="22D345B6"/>
    <w:rsid w:val="2A461AE0"/>
    <w:rsid w:val="2E2D3430"/>
    <w:rsid w:val="2E5319E4"/>
    <w:rsid w:val="3804370B"/>
    <w:rsid w:val="3DF17B5D"/>
    <w:rsid w:val="4C59524B"/>
    <w:rsid w:val="4F6F5ABF"/>
    <w:rsid w:val="565F3782"/>
    <w:rsid w:val="5BCB407E"/>
    <w:rsid w:val="6AC67AF8"/>
    <w:rsid w:val="6D975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jc w:val="both"/>
      <w:textAlignment w:val="baseline"/>
    </w:pPr>
    <w:rPr>
      <w:kern w:val="28"/>
      <w:szCs w:val="20"/>
    </w:rPr>
  </w:style>
  <w:style w:type="paragraph" w:styleId="3">
    <w:name w:val="Balloon Text"/>
    <w:basedOn w:val="1"/>
    <w:semiHidden/>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qFormat/>
    <w:uiPriority w:val="0"/>
    <w:rPr>
      <w:kern w:val="2"/>
      <w:sz w:val="18"/>
      <w:szCs w:val="18"/>
    </w:rPr>
  </w:style>
  <w:style w:type="character" w:customStyle="1" w:styleId="11">
    <w:name w:val="页脚 Char"/>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650</Words>
  <Characters>702</Characters>
  <Lines>3</Lines>
  <Paragraphs>1</Paragraphs>
  <TotalTime>0</TotalTime>
  <ScaleCrop>false</ScaleCrop>
  <LinksUpToDate>false</LinksUpToDate>
  <CharactersWithSpaces>706</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WPS_246705718</cp:lastModifiedBy>
  <cp:lastPrinted>2023-03-31T06:54:00Z</cp:lastPrinted>
  <dcterms:modified xsi:type="dcterms:W3CDTF">2024-07-25T01:33:07Z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FBA002DA40304EF88BBCE32371B4185F_13</vt:lpwstr>
  </property>
</Properties>
</file>