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BD27A">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14:paraId="5F62783E">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14:paraId="7BB8A990">
      <w:pPr>
        <w:keepNext w:val="0"/>
        <w:keepLines w:val="0"/>
        <w:pageBreakBefore w:val="0"/>
        <w:kinsoku/>
        <w:wordWrap/>
        <w:overflowPunct/>
        <w:topLinePunct w:val="0"/>
        <w:autoSpaceDE/>
        <w:autoSpaceDN/>
        <w:bidi w:val="0"/>
        <w:adjustRightInd/>
        <w:snapToGrid/>
        <w:spacing w:line="640" w:lineRule="exact"/>
        <w:ind w:firstLine="600" w:firstLineChars="200"/>
        <w:textAlignment w:val="auto"/>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1.合法设立并有效存续的法人。</w:t>
      </w:r>
    </w:p>
    <w:p w14:paraId="7D01912F">
      <w:pPr>
        <w:keepNext w:val="0"/>
        <w:keepLines w:val="0"/>
        <w:pageBreakBefore w:val="0"/>
        <w:kinsoku/>
        <w:wordWrap/>
        <w:overflowPunct/>
        <w:topLinePunct w:val="0"/>
        <w:autoSpaceDE/>
        <w:autoSpaceDN/>
        <w:bidi w:val="0"/>
        <w:adjustRightInd/>
        <w:snapToGrid/>
        <w:spacing w:line="640" w:lineRule="exact"/>
        <w:ind w:firstLine="600" w:firstLineChars="200"/>
        <w:textAlignment w:val="auto"/>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2.在中国执行信息公开网失信被执行人查询没有找到意向受让方相关的结果（http://zxgk.court.gov.cn/）。</w:t>
      </w:r>
    </w:p>
    <w:p w14:paraId="1E10E685">
      <w:pPr>
        <w:keepNext w:val="0"/>
        <w:keepLines w:val="0"/>
        <w:pageBreakBefore w:val="0"/>
        <w:kinsoku/>
        <w:wordWrap/>
        <w:overflowPunct/>
        <w:topLinePunct w:val="0"/>
        <w:autoSpaceDE/>
        <w:autoSpaceDN/>
        <w:bidi w:val="0"/>
        <w:adjustRightInd/>
        <w:snapToGrid/>
        <w:spacing w:line="640" w:lineRule="exact"/>
        <w:ind w:firstLine="600" w:firstLineChars="200"/>
        <w:textAlignment w:val="auto"/>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3.符合国家法律、行政法规规定的其他条件。</w:t>
      </w:r>
    </w:p>
    <w:p w14:paraId="5518084A">
      <w:pPr>
        <w:rPr>
          <w:rFonts w:hint="eastAsia" w:ascii="宋体" w:hAnsi="宋体" w:eastAsia="宋体" w:cs="宋体"/>
          <w:b/>
          <w:bCs/>
          <w:sz w:val="30"/>
          <w:szCs w:val="30"/>
        </w:rPr>
      </w:pPr>
      <w:r>
        <w:rPr>
          <w:rFonts w:hint="eastAsia" w:ascii="宋体" w:hAnsi="宋体" w:eastAsia="宋体" w:cs="宋体"/>
          <w:b/>
          <w:bCs/>
          <w:sz w:val="30"/>
          <w:szCs w:val="30"/>
        </w:rPr>
        <w:t>二、应提交的材料</w:t>
      </w:r>
    </w:p>
    <w:p w14:paraId="26B22B44">
      <w:pPr>
        <w:numPr>
          <w:ilvl w:val="0"/>
          <w:numId w:val="1"/>
        </w:numPr>
        <w:ind w:left="0" w:leftChars="0"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统一社会信用代码证（原件校验+复印件）</w:t>
      </w:r>
      <w:r>
        <w:rPr>
          <w:rFonts w:hint="eastAsia" w:ascii="仿宋_GB2312" w:hAnsi="仿宋_GB2312" w:eastAsia="仿宋_GB2312" w:cs="仿宋_GB2312"/>
          <w:kern w:val="0"/>
          <w:sz w:val="30"/>
          <w:szCs w:val="30"/>
          <w:lang w:eastAsia="zh-CN"/>
        </w:rPr>
        <w:t>；</w:t>
      </w:r>
    </w:p>
    <w:p w14:paraId="54DBAB4B">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14:paraId="18065E58">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eastAsia="zh-CN"/>
        </w:rPr>
        <w:t>；</w:t>
      </w:r>
    </w:p>
    <w:p w14:paraId="19745A0C">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被委托人身份证（原件校验+复印件）</w:t>
      </w:r>
      <w:r>
        <w:rPr>
          <w:rFonts w:hint="eastAsia" w:ascii="仿宋_GB2312" w:hAnsi="仿宋_GB2312" w:eastAsia="仿宋_GB2312" w:cs="仿宋_GB2312"/>
          <w:kern w:val="0"/>
          <w:sz w:val="30"/>
          <w:szCs w:val="30"/>
          <w:lang w:eastAsia="zh-CN"/>
        </w:rPr>
        <w:t>；</w:t>
      </w:r>
    </w:p>
    <w:p w14:paraId="2E690E03">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bidi="ar-SA"/>
        </w:rPr>
        <w:t>中国执行信息公开网失信被执行人查询结果截图；</w:t>
      </w:r>
    </w:p>
    <w:p w14:paraId="41CD71FB">
      <w:pPr>
        <w:numPr>
          <w:ilvl w:val="0"/>
          <w:numId w:val="1"/>
        </w:numPr>
        <w:ind w:left="0" w:leftChars="0" w:firstLine="600" w:firstLineChars="200"/>
        <w:rPr>
          <w:rFonts w:ascii="仿宋_GB2312" w:hAnsi="仿宋_GB2312" w:eastAsia="仿宋_GB2312" w:cs="仿宋_GB2312"/>
          <w:kern w:val="0"/>
          <w:sz w:val="30"/>
          <w:szCs w:val="30"/>
        </w:rPr>
      </w:pP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14:paraId="3B0CCA57">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p>
    <w:p w14:paraId="08A4ECC4">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三、转账信息</w:t>
      </w:r>
      <w:bookmarkStart w:id="0" w:name="_GoBack"/>
      <w:bookmarkEnd w:id="0"/>
    </w:p>
    <w:p w14:paraId="77E8DB2F">
      <w:pPr>
        <w:ind w:firstLine="600" w:firstLineChars="200"/>
        <w:rPr>
          <w:rFonts w:hint="eastAsia" w:ascii="仿宋_GB2312" w:eastAsia="仿宋_GB2312"/>
          <w:sz w:val="30"/>
          <w:szCs w:val="30"/>
        </w:rPr>
      </w:pPr>
      <w:r>
        <w:rPr>
          <w:rFonts w:hint="eastAsia" w:ascii="仿宋_GB2312" w:eastAsia="仿宋_GB2312"/>
          <w:sz w:val="30"/>
          <w:szCs w:val="30"/>
        </w:rPr>
        <w:t>开户名称：南平市产权交易有限公司</w:t>
      </w:r>
    </w:p>
    <w:p w14:paraId="02C38BEE">
      <w:pPr>
        <w:ind w:firstLine="600" w:firstLineChars="200"/>
        <w:rPr>
          <w:rFonts w:hint="eastAsia" w:ascii="仿宋_GB2312" w:eastAsia="仿宋_GB2312"/>
          <w:sz w:val="30"/>
          <w:szCs w:val="30"/>
          <w:lang w:eastAsia="zh-CN"/>
        </w:rPr>
      </w:pPr>
      <w:r>
        <w:rPr>
          <w:rFonts w:hint="eastAsia" w:ascii="仿宋_GB2312" w:eastAsia="仿宋_GB2312"/>
          <w:sz w:val="30"/>
          <w:szCs w:val="30"/>
        </w:rPr>
        <w:t>开户银行：</w:t>
      </w:r>
      <w:r>
        <w:rPr>
          <w:rFonts w:hint="eastAsia" w:ascii="仿宋_GB2312" w:eastAsia="仿宋_GB2312"/>
          <w:sz w:val="30"/>
          <w:szCs w:val="30"/>
          <w:lang w:eastAsia="zh-CN"/>
        </w:rPr>
        <w:t>厦门银行股份有限公司南平分行营业部</w:t>
      </w:r>
    </w:p>
    <w:p w14:paraId="74F87C7C">
      <w:pPr>
        <w:ind w:firstLine="600" w:firstLineChars="200"/>
        <w:rPr>
          <w:rFonts w:hint="eastAsia" w:ascii="仿宋_GB2312" w:eastAsia="仿宋_GB2312"/>
          <w:sz w:val="30"/>
          <w:szCs w:val="30"/>
        </w:rPr>
      </w:pPr>
      <w:r>
        <w:rPr>
          <w:rFonts w:hint="eastAsia" w:ascii="仿宋_GB2312" w:eastAsia="仿宋_GB2312"/>
          <w:sz w:val="30"/>
          <w:szCs w:val="30"/>
        </w:rPr>
        <w:t>开户账号：8070</w:t>
      </w:r>
      <w:r>
        <w:rPr>
          <w:rFonts w:hint="eastAsia" w:ascii="仿宋_GB2312" w:eastAsia="仿宋_GB2312"/>
          <w:sz w:val="30"/>
          <w:szCs w:val="30"/>
          <w:lang w:val="en-US" w:eastAsia="zh-CN"/>
        </w:rPr>
        <w:t xml:space="preserve"> </w:t>
      </w:r>
      <w:r>
        <w:rPr>
          <w:rFonts w:hint="eastAsia" w:ascii="仿宋_GB2312" w:eastAsia="仿宋_GB2312"/>
          <w:sz w:val="30"/>
          <w:szCs w:val="30"/>
        </w:rPr>
        <w:t>2716</w:t>
      </w:r>
      <w:r>
        <w:rPr>
          <w:rFonts w:hint="eastAsia" w:ascii="仿宋_GB2312" w:eastAsia="仿宋_GB2312"/>
          <w:sz w:val="30"/>
          <w:szCs w:val="30"/>
          <w:lang w:val="en-US" w:eastAsia="zh-CN"/>
        </w:rPr>
        <w:t xml:space="preserve"> </w:t>
      </w:r>
      <w:r>
        <w:rPr>
          <w:rFonts w:hint="eastAsia" w:ascii="仿宋_GB2312" w:eastAsia="仿宋_GB2312"/>
          <w:sz w:val="30"/>
          <w:szCs w:val="30"/>
        </w:rPr>
        <w:t>0000</w:t>
      </w:r>
      <w:r>
        <w:rPr>
          <w:rFonts w:hint="eastAsia" w:ascii="仿宋_GB2312" w:eastAsia="仿宋_GB2312"/>
          <w:sz w:val="30"/>
          <w:szCs w:val="30"/>
          <w:lang w:val="en-US" w:eastAsia="zh-CN"/>
        </w:rPr>
        <w:t xml:space="preserve"> </w:t>
      </w:r>
      <w:r>
        <w:rPr>
          <w:rFonts w:hint="eastAsia" w:ascii="仿宋_GB2312" w:eastAsia="仿宋_GB2312"/>
          <w:sz w:val="30"/>
          <w:szCs w:val="30"/>
        </w:rPr>
        <w:t>06</w:t>
      </w:r>
    </w:p>
    <w:p w14:paraId="2BFB08EA">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kern w:val="2"/>
          <w:sz w:val="30"/>
          <w:szCs w:val="30"/>
          <w:lang w:val="en-US" w:eastAsia="zh-CN" w:bidi="ar-SA"/>
        </w:rPr>
        <w:t>四、</w:t>
      </w:r>
      <w:r>
        <w:rPr>
          <w:rFonts w:hint="eastAsia" w:ascii="宋体" w:hAnsi="宋体" w:eastAsia="宋体" w:cs="宋体"/>
          <w:b/>
          <w:bCs/>
          <w:sz w:val="30"/>
          <w:szCs w:val="30"/>
          <w:lang w:val="en-US" w:eastAsia="zh-CN"/>
        </w:rPr>
        <w:t>保证金</w:t>
      </w:r>
    </w:p>
    <w:tbl>
      <w:tblPr>
        <w:tblStyle w:val="6"/>
        <w:tblW w:w="55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4815"/>
        <w:gridCol w:w="1335"/>
        <w:gridCol w:w="1320"/>
        <w:gridCol w:w="1148"/>
      </w:tblGrid>
      <w:tr w14:paraId="02F5D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3" w:type="pct"/>
            <w:tcBorders>
              <w:top w:val="single" w:color="auto" w:sz="4" w:space="0"/>
              <w:left w:val="single" w:color="auto" w:sz="4" w:space="0"/>
              <w:bottom w:val="single" w:color="auto" w:sz="4" w:space="0"/>
              <w:right w:val="single" w:color="auto" w:sz="4" w:space="0"/>
            </w:tcBorders>
            <w:noWrap w:val="0"/>
            <w:vAlign w:val="center"/>
          </w:tcPr>
          <w:p w14:paraId="45E18362">
            <w:pPr>
              <w:spacing w:line="400" w:lineRule="exact"/>
              <w:jc w:val="center"/>
              <w:outlineLvl w:val="9"/>
              <w:rPr>
                <w:rFonts w:hint="eastAsia" w:ascii="仿宋_GB2312" w:eastAsia="仿宋_GB2312"/>
                <w:sz w:val="24"/>
              </w:rPr>
            </w:pPr>
            <w:r>
              <w:rPr>
                <w:rFonts w:hint="eastAsia" w:ascii="仿宋_GB2312" w:eastAsia="仿宋_GB2312"/>
                <w:sz w:val="24"/>
              </w:rPr>
              <w:t>序号</w:t>
            </w:r>
          </w:p>
        </w:tc>
        <w:tc>
          <w:tcPr>
            <w:tcW w:w="2551" w:type="pct"/>
            <w:tcBorders>
              <w:top w:val="single" w:color="auto" w:sz="4" w:space="0"/>
              <w:left w:val="single" w:color="auto" w:sz="4" w:space="0"/>
              <w:bottom w:val="single" w:color="auto" w:sz="4" w:space="0"/>
              <w:right w:val="single" w:color="auto" w:sz="4" w:space="0"/>
            </w:tcBorders>
            <w:noWrap w:val="0"/>
            <w:vAlign w:val="center"/>
          </w:tcPr>
          <w:p w14:paraId="2EEFB2AD">
            <w:pPr>
              <w:spacing w:line="400" w:lineRule="exact"/>
              <w:jc w:val="center"/>
              <w:outlineLvl w:val="9"/>
              <w:rPr>
                <w:rFonts w:hint="eastAsia" w:ascii="仿宋_GB2312" w:eastAsia="仿宋_GB2312"/>
                <w:sz w:val="24"/>
              </w:rPr>
            </w:pPr>
            <w:r>
              <w:rPr>
                <w:rFonts w:hint="eastAsia" w:ascii="仿宋_GB2312" w:eastAsia="仿宋_GB2312"/>
                <w:sz w:val="24"/>
              </w:rPr>
              <w:t>标的及项目编号</w:t>
            </w:r>
          </w:p>
        </w:tc>
        <w:tc>
          <w:tcPr>
            <w:tcW w:w="707" w:type="pct"/>
            <w:tcBorders>
              <w:top w:val="single" w:color="auto" w:sz="4" w:space="0"/>
              <w:left w:val="single" w:color="auto" w:sz="4" w:space="0"/>
              <w:bottom w:val="single" w:color="auto" w:sz="4" w:space="0"/>
              <w:right w:val="single" w:color="auto" w:sz="4" w:space="0"/>
            </w:tcBorders>
            <w:noWrap w:val="0"/>
            <w:vAlign w:val="center"/>
          </w:tcPr>
          <w:p w14:paraId="78088965">
            <w:pPr>
              <w:spacing w:line="400" w:lineRule="exact"/>
              <w:jc w:val="center"/>
              <w:outlineLvl w:val="9"/>
              <w:rPr>
                <w:rFonts w:ascii="仿宋_GB2312" w:eastAsia="仿宋_GB2312"/>
                <w:sz w:val="24"/>
              </w:rPr>
            </w:pPr>
            <w:r>
              <w:rPr>
                <w:rFonts w:hint="eastAsia" w:ascii="仿宋_GB2312" w:eastAsia="仿宋_GB2312"/>
                <w:sz w:val="24"/>
              </w:rPr>
              <w:t>挂牌价（元）</w:t>
            </w:r>
          </w:p>
        </w:tc>
        <w:tc>
          <w:tcPr>
            <w:tcW w:w="699" w:type="pct"/>
            <w:tcBorders>
              <w:top w:val="single" w:color="auto" w:sz="4" w:space="0"/>
              <w:left w:val="single" w:color="auto" w:sz="4" w:space="0"/>
              <w:bottom w:val="single" w:color="auto" w:sz="4" w:space="0"/>
              <w:right w:val="single" w:color="auto" w:sz="4" w:space="0"/>
            </w:tcBorders>
            <w:noWrap w:val="0"/>
            <w:vAlign w:val="center"/>
          </w:tcPr>
          <w:p w14:paraId="69B9105C">
            <w:pPr>
              <w:spacing w:line="400" w:lineRule="exact"/>
              <w:jc w:val="center"/>
              <w:outlineLvl w:val="9"/>
              <w:rPr>
                <w:rFonts w:ascii="仿宋_GB2312" w:eastAsia="仿宋_GB2312"/>
                <w:sz w:val="24"/>
              </w:rPr>
            </w:pPr>
            <w:r>
              <w:rPr>
                <w:rFonts w:hint="eastAsia" w:ascii="仿宋_GB2312" w:eastAsia="仿宋_GB2312"/>
                <w:sz w:val="24"/>
              </w:rPr>
              <w:t>竞价保证金（元）</w:t>
            </w:r>
          </w:p>
        </w:tc>
        <w:tc>
          <w:tcPr>
            <w:tcW w:w="608" w:type="pct"/>
            <w:tcBorders>
              <w:top w:val="single" w:color="auto" w:sz="4" w:space="0"/>
              <w:left w:val="single" w:color="auto" w:sz="4" w:space="0"/>
              <w:bottom w:val="single" w:color="auto" w:sz="4" w:space="0"/>
              <w:right w:val="single" w:color="auto" w:sz="4" w:space="0"/>
            </w:tcBorders>
            <w:noWrap w:val="0"/>
            <w:vAlign w:val="center"/>
          </w:tcPr>
          <w:p w14:paraId="4DC05291">
            <w:pPr>
              <w:spacing w:line="400" w:lineRule="exact"/>
              <w:jc w:val="center"/>
              <w:outlineLvl w:val="9"/>
              <w:rPr>
                <w:rFonts w:ascii="仿宋_GB2312" w:eastAsia="仿宋_GB2312"/>
                <w:sz w:val="24"/>
              </w:rPr>
            </w:pPr>
            <w:r>
              <w:rPr>
                <w:rFonts w:hint="eastAsia" w:ascii="仿宋_GB2312" w:eastAsia="仿宋_GB2312"/>
                <w:sz w:val="24"/>
              </w:rPr>
              <w:t>竞价方式</w:t>
            </w:r>
          </w:p>
        </w:tc>
      </w:tr>
      <w:tr w14:paraId="25FA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33" w:type="pct"/>
            <w:tcBorders>
              <w:top w:val="single" w:color="auto" w:sz="4" w:space="0"/>
              <w:left w:val="single" w:color="auto" w:sz="4" w:space="0"/>
              <w:right w:val="single" w:color="auto" w:sz="4" w:space="0"/>
            </w:tcBorders>
            <w:noWrap w:val="0"/>
            <w:vAlign w:val="center"/>
          </w:tcPr>
          <w:p w14:paraId="42A749C0">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ascii="仿宋_GB2312" w:eastAsia="仿宋_GB2312"/>
                <w:b/>
                <w:bCs/>
                <w:color w:val="222222"/>
                <w:sz w:val="24"/>
              </w:rPr>
            </w:pPr>
            <w:r>
              <w:rPr>
                <w:rFonts w:hint="eastAsia" w:ascii="仿宋_GB2312" w:eastAsia="仿宋_GB2312"/>
                <w:b/>
                <w:bCs/>
                <w:color w:val="222222"/>
                <w:sz w:val="24"/>
              </w:rPr>
              <w:t>标的一</w:t>
            </w:r>
          </w:p>
        </w:tc>
        <w:tc>
          <w:tcPr>
            <w:tcW w:w="2551" w:type="pct"/>
            <w:tcBorders>
              <w:top w:val="single" w:color="auto" w:sz="4" w:space="0"/>
              <w:left w:val="single" w:color="auto" w:sz="4" w:space="0"/>
              <w:bottom w:val="single" w:color="auto" w:sz="4" w:space="0"/>
              <w:right w:val="single" w:color="auto" w:sz="4" w:space="0"/>
            </w:tcBorders>
            <w:noWrap w:val="0"/>
            <w:vAlign w:val="center"/>
          </w:tcPr>
          <w:p w14:paraId="3375C40B">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仿宋_GB2312" w:eastAsia="仿宋_GB2312"/>
                <w:bCs/>
                <w:color w:val="222222"/>
                <w:sz w:val="24"/>
                <w:lang w:eastAsia="zh-CN"/>
              </w:rPr>
            </w:pPr>
            <w:r>
              <w:rPr>
                <w:rFonts w:hint="eastAsia" w:ascii="仿宋_GB2312" w:eastAsia="仿宋_GB2312"/>
                <w:bCs/>
                <w:color w:val="222222"/>
                <w:sz w:val="24"/>
                <w:lang w:eastAsia="zh-CN"/>
              </w:rPr>
              <w:t>高速·金福花园2#201及6个地下车位（143-148号）使用权转让</w:t>
            </w:r>
          </w:p>
        </w:tc>
        <w:tc>
          <w:tcPr>
            <w:tcW w:w="707" w:type="pct"/>
            <w:tcBorders>
              <w:top w:val="single" w:color="auto" w:sz="4" w:space="0"/>
              <w:left w:val="single" w:color="auto" w:sz="4" w:space="0"/>
              <w:right w:val="single" w:color="auto" w:sz="4" w:space="0"/>
            </w:tcBorders>
            <w:noWrap w:val="0"/>
            <w:vAlign w:val="center"/>
          </w:tcPr>
          <w:p w14:paraId="6E2298B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仿宋_GB2312" w:eastAsia="仿宋_GB2312"/>
                <w:sz w:val="24"/>
                <w:lang w:val="en-US" w:eastAsia="zh-CN"/>
              </w:rPr>
            </w:pPr>
            <w:r>
              <w:rPr>
                <w:rFonts w:hint="default" w:ascii="仿宋_GB2312" w:eastAsia="仿宋_GB2312"/>
                <w:sz w:val="24"/>
                <w:lang w:val="en-US" w:eastAsia="zh-CN"/>
              </w:rPr>
              <w:t xml:space="preserve">10743007 </w:t>
            </w:r>
          </w:p>
        </w:tc>
        <w:tc>
          <w:tcPr>
            <w:tcW w:w="699" w:type="pct"/>
            <w:tcBorders>
              <w:top w:val="single" w:color="auto" w:sz="4" w:space="0"/>
              <w:left w:val="single" w:color="auto" w:sz="4" w:space="0"/>
              <w:right w:val="single" w:color="auto" w:sz="4" w:space="0"/>
            </w:tcBorders>
            <w:noWrap w:val="0"/>
            <w:vAlign w:val="center"/>
          </w:tcPr>
          <w:p w14:paraId="7ECEAF2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仿宋_GB2312" w:eastAsia="仿宋_GB2312"/>
                <w:sz w:val="24"/>
                <w:lang w:val="en-US" w:eastAsia="zh-CN"/>
              </w:rPr>
            </w:pPr>
            <w:r>
              <w:rPr>
                <w:rFonts w:hint="eastAsia" w:ascii="仿宋_GB2312" w:eastAsia="仿宋_GB2312"/>
                <w:sz w:val="24"/>
                <w:lang w:val="en-US" w:eastAsia="zh-CN"/>
              </w:rPr>
              <w:t>3200000</w:t>
            </w:r>
          </w:p>
        </w:tc>
        <w:tc>
          <w:tcPr>
            <w:tcW w:w="608" w:type="pct"/>
            <w:tcBorders>
              <w:top w:val="single" w:color="auto" w:sz="4" w:space="0"/>
              <w:left w:val="single" w:color="auto" w:sz="4" w:space="0"/>
              <w:right w:val="single" w:color="auto" w:sz="4" w:space="0"/>
            </w:tcBorders>
            <w:noWrap w:val="0"/>
            <w:vAlign w:val="center"/>
          </w:tcPr>
          <w:p w14:paraId="3C884F7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仿宋_GB2312" w:eastAsia="仿宋_GB2312"/>
                <w:b/>
                <w:sz w:val="24"/>
              </w:rPr>
            </w:pPr>
            <w:r>
              <w:rPr>
                <w:rFonts w:hint="eastAsia" w:ascii="仿宋_GB2312" w:eastAsia="仿宋_GB2312"/>
                <w:sz w:val="24"/>
              </w:rPr>
              <w:t>网络动态报价</w:t>
            </w:r>
          </w:p>
        </w:tc>
      </w:tr>
      <w:tr w14:paraId="68BC3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433" w:type="pct"/>
            <w:tcBorders>
              <w:left w:val="single" w:color="auto" w:sz="4" w:space="0"/>
              <w:right w:val="single" w:color="auto" w:sz="4" w:space="0"/>
            </w:tcBorders>
            <w:noWrap w:val="0"/>
            <w:vAlign w:val="center"/>
          </w:tcPr>
          <w:p w14:paraId="53726213">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仿宋_GB2312" w:eastAsia="仿宋_GB2312"/>
                <w:b/>
                <w:bCs/>
                <w:color w:val="222222"/>
                <w:sz w:val="24"/>
                <w:lang w:eastAsia="zh-CN"/>
              </w:rPr>
            </w:pPr>
            <w:r>
              <w:rPr>
                <w:rFonts w:hint="eastAsia" w:ascii="仿宋_GB2312" w:eastAsia="仿宋_GB2312"/>
                <w:b/>
                <w:bCs/>
                <w:color w:val="222222"/>
                <w:sz w:val="24"/>
              </w:rPr>
              <w:t>标的</w:t>
            </w:r>
            <w:r>
              <w:rPr>
                <w:rFonts w:hint="eastAsia" w:ascii="仿宋_GB2312" w:eastAsia="仿宋_GB2312"/>
                <w:b/>
                <w:bCs/>
                <w:color w:val="222222"/>
                <w:sz w:val="24"/>
                <w:lang w:val="en-US" w:eastAsia="zh-CN"/>
              </w:rPr>
              <w:t>二</w:t>
            </w:r>
          </w:p>
        </w:tc>
        <w:tc>
          <w:tcPr>
            <w:tcW w:w="2551" w:type="pct"/>
            <w:tcBorders>
              <w:top w:val="single" w:color="auto" w:sz="4" w:space="0"/>
              <w:left w:val="single" w:color="auto" w:sz="4" w:space="0"/>
              <w:bottom w:val="single" w:color="auto" w:sz="4" w:space="0"/>
              <w:right w:val="single" w:color="auto" w:sz="4" w:space="0"/>
            </w:tcBorders>
            <w:noWrap w:val="0"/>
            <w:vAlign w:val="center"/>
          </w:tcPr>
          <w:p w14:paraId="0970C577">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仿宋_GB2312" w:eastAsia="仿宋_GB2312"/>
                <w:bCs/>
                <w:color w:val="222222"/>
                <w:sz w:val="24"/>
                <w:lang w:eastAsia="zh-CN"/>
              </w:rPr>
            </w:pPr>
            <w:r>
              <w:rPr>
                <w:rFonts w:hint="eastAsia" w:ascii="仿宋_GB2312" w:eastAsia="仿宋_GB2312"/>
                <w:bCs/>
                <w:color w:val="222222"/>
                <w:sz w:val="24"/>
                <w:lang w:eastAsia="zh-CN"/>
              </w:rPr>
              <w:t>高速·金福花园3#201及4个地下车位（149-152号）使用权转让</w:t>
            </w:r>
          </w:p>
        </w:tc>
        <w:tc>
          <w:tcPr>
            <w:tcW w:w="707" w:type="pct"/>
            <w:tcBorders>
              <w:left w:val="single" w:color="auto" w:sz="4" w:space="0"/>
              <w:right w:val="single" w:color="auto" w:sz="4" w:space="0"/>
            </w:tcBorders>
            <w:noWrap w:val="0"/>
            <w:vAlign w:val="center"/>
          </w:tcPr>
          <w:p w14:paraId="5A66A41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仿宋_GB2312" w:eastAsia="仿宋_GB2312"/>
                <w:sz w:val="24"/>
              </w:rPr>
            </w:pPr>
            <w:r>
              <w:rPr>
                <w:rFonts w:hint="default" w:ascii="仿宋_GB2312" w:hAnsi="Times New Roman" w:eastAsia="仿宋_GB2312" w:cs="Times New Roman"/>
                <w:sz w:val="24"/>
                <w:lang w:val="en-US" w:eastAsia="zh-CN"/>
              </w:rPr>
              <w:t>6921149</w:t>
            </w:r>
          </w:p>
        </w:tc>
        <w:tc>
          <w:tcPr>
            <w:tcW w:w="699" w:type="pct"/>
            <w:tcBorders>
              <w:left w:val="single" w:color="auto" w:sz="4" w:space="0"/>
              <w:right w:val="single" w:color="auto" w:sz="4" w:space="0"/>
            </w:tcBorders>
            <w:noWrap w:val="0"/>
            <w:vAlign w:val="center"/>
          </w:tcPr>
          <w:p w14:paraId="0D66705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仿宋_GB2312" w:eastAsia="仿宋_GB2312"/>
                <w:sz w:val="24"/>
                <w:lang w:val="en-US" w:eastAsia="zh-CN"/>
              </w:rPr>
            </w:pPr>
            <w:r>
              <w:rPr>
                <w:rFonts w:hint="eastAsia" w:ascii="仿宋_GB2312" w:hAnsi="Times New Roman" w:eastAsia="仿宋_GB2312" w:cs="Times New Roman"/>
                <w:bCs/>
                <w:color w:val="222222"/>
                <w:sz w:val="24"/>
                <w:lang w:val="en-US" w:eastAsia="zh-CN"/>
              </w:rPr>
              <w:t>2080000</w:t>
            </w:r>
          </w:p>
        </w:tc>
        <w:tc>
          <w:tcPr>
            <w:tcW w:w="608" w:type="pct"/>
            <w:tcBorders>
              <w:left w:val="single" w:color="auto" w:sz="4" w:space="0"/>
              <w:right w:val="single" w:color="auto" w:sz="4" w:space="0"/>
            </w:tcBorders>
            <w:noWrap w:val="0"/>
            <w:vAlign w:val="center"/>
          </w:tcPr>
          <w:p w14:paraId="002042A1">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仿宋_GB2312" w:eastAsia="仿宋_GB2312"/>
                <w:sz w:val="24"/>
              </w:rPr>
            </w:pPr>
            <w:r>
              <w:rPr>
                <w:rFonts w:hint="eastAsia" w:ascii="仿宋_GB2312" w:eastAsia="仿宋_GB2312"/>
                <w:sz w:val="24"/>
              </w:rPr>
              <w:t>网络动态报价</w:t>
            </w:r>
          </w:p>
        </w:tc>
      </w:tr>
    </w:tbl>
    <w:p w14:paraId="179AA621">
      <w:pPr>
        <w:numPr>
          <w:ilvl w:val="0"/>
          <w:numId w:val="0"/>
        </w:numPr>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五、截止时间</w:t>
      </w:r>
    </w:p>
    <w:p w14:paraId="4104D20F">
      <w:pPr>
        <w:numPr>
          <w:ilvl w:val="0"/>
          <w:numId w:val="0"/>
        </w:numPr>
        <w:ind w:firstLine="602" w:firstLineChars="200"/>
        <w:rPr>
          <w:rFonts w:ascii="仿宋_GB2312" w:eastAsia="仿宋_GB2312"/>
          <w:sz w:val="30"/>
          <w:szCs w:val="30"/>
        </w:rPr>
      </w:pPr>
      <w:r>
        <w:rPr>
          <w:rFonts w:hint="eastAsia" w:ascii="仿宋_GB2312" w:eastAsia="仿宋_GB2312"/>
          <w:b/>
          <w:bCs/>
          <w:color w:val="FF0000"/>
          <w:sz w:val="30"/>
          <w:szCs w:val="30"/>
          <w:lang w:val="en-US" w:eastAsia="zh-CN"/>
        </w:rPr>
        <w:t>标的一：</w:t>
      </w:r>
      <w:r>
        <w:rPr>
          <w:rFonts w:hint="eastAsia" w:ascii="仿宋_GB2312" w:eastAsia="仿宋_GB2312"/>
          <w:b/>
          <w:bCs/>
          <w:color w:val="FF0000"/>
          <w:sz w:val="30"/>
          <w:szCs w:val="30"/>
          <w:lang w:eastAsia="zh-CN"/>
        </w:rPr>
        <w:t>2024年7月11日</w:t>
      </w:r>
      <w:r>
        <w:rPr>
          <w:rFonts w:hint="eastAsia" w:ascii="仿宋_GB2312" w:eastAsia="仿宋_GB2312"/>
          <w:b/>
          <w:bCs/>
          <w:color w:val="FF0000"/>
          <w:sz w:val="30"/>
          <w:szCs w:val="30"/>
        </w:rPr>
        <w:t>—</w:t>
      </w:r>
      <w:r>
        <w:rPr>
          <w:rFonts w:hint="eastAsia" w:ascii="仿宋_GB2312" w:eastAsia="仿宋_GB2312"/>
          <w:b/>
          <w:bCs/>
          <w:color w:val="FF0000"/>
          <w:sz w:val="30"/>
          <w:szCs w:val="30"/>
          <w:lang w:val="en-US" w:eastAsia="zh-CN"/>
        </w:rPr>
        <w:t>8月7日</w:t>
      </w:r>
      <w:r>
        <w:rPr>
          <w:rFonts w:hint="eastAsia" w:ascii="仿宋_GB2312" w:eastAsia="仿宋_GB2312"/>
          <w:b/>
          <w:bCs/>
          <w:color w:val="FF0000"/>
          <w:sz w:val="30"/>
          <w:szCs w:val="30"/>
        </w:rPr>
        <w:t>17：00</w:t>
      </w:r>
      <w:r>
        <w:rPr>
          <w:rFonts w:hint="eastAsia" w:ascii="仿宋_GB2312" w:eastAsia="仿宋_GB2312"/>
          <w:b/>
          <w:bCs/>
          <w:color w:val="FF0000"/>
          <w:sz w:val="30"/>
          <w:szCs w:val="30"/>
          <w:lang w:eastAsia="zh-CN"/>
        </w:rPr>
        <w:t>；</w:t>
      </w:r>
      <w:r>
        <w:rPr>
          <w:rFonts w:hint="eastAsia" w:ascii="仿宋_GB2312" w:eastAsia="仿宋_GB2312"/>
          <w:b/>
          <w:bCs/>
          <w:color w:val="FF0000"/>
          <w:sz w:val="30"/>
          <w:szCs w:val="30"/>
          <w:lang w:val="en-US" w:eastAsia="zh-CN"/>
        </w:rPr>
        <w:t>标的二：</w:t>
      </w:r>
      <w:r>
        <w:rPr>
          <w:rFonts w:hint="eastAsia" w:ascii="仿宋_GB2312" w:eastAsia="仿宋_GB2312"/>
          <w:b/>
          <w:bCs/>
          <w:color w:val="FF0000"/>
          <w:sz w:val="30"/>
          <w:szCs w:val="30"/>
          <w:lang w:eastAsia="zh-CN"/>
        </w:rPr>
        <w:t>2024年7月11日</w:t>
      </w:r>
      <w:r>
        <w:rPr>
          <w:rFonts w:hint="eastAsia" w:ascii="仿宋_GB2312" w:eastAsia="仿宋_GB2312"/>
          <w:b/>
          <w:bCs/>
          <w:color w:val="FF0000"/>
          <w:sz w:val="30"/>
          <w:szCs w:val="30"/>
        </w:rPr>
        <w:t>—</w:t>
      </w:r>
      <w:r>
        <w:rPr>
          <w:rFonts w:hint="eastAsia" w:ascii="仿宋_GB2312" w:eastAsia="仿宋_GB2312"/>
          <w:b/>
          <w:bCs/>
          <w:color w:val="FF0000"/>
          <w:sz w:val="30"/>
          <w:szCs w:val="30"/>
          <w:lang w:val="en-US" w:eastAsia="zh-CN"/>
        </w:rPr>
        <w:t>7月24日</w:t>
      </w:r>
      <w:r>
        <w:rPr>
          <w:rFonts w:hint="eastAsia" w:ascii="仿宋_GB2312" w:eastAsia="仿宋_GB2312"/>
          <w:b/>
          <w:bCs/>
          <w:color w:val="FF0000"/>
          <w:sz w:val="30"/>
          <w:szCs w:val="30"/>
        </w:rPr>
        <w:t>17：00</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14:paraId="0C368453">
      <w:pPr>
        <w:ind w:firstLine="602" w:firstLineChars="200"/>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14:paraId="3979FE40">
      <w:pPr>
        <w:ind w:firstLine="560" w:firstLineChars="200"/>
        <w:rPr>
          <w:sz w:val="28"/>
          <w:szCs w:val="28"/>
        </w:rPr>
      </w:pPr>
    </w:p>
    <w:p w14:paraId="33223D4B">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29C8B"/>
    <w:multiLevelType w:val="singleLevel"/>
    <w:tmpl w:val="CBF29C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RiNTAzNDk5ZjVmZmJhMmFmMTg0Yjk2ZDcwYjAwZTE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22D345B6"/>
    <w:rsid w:val="2E2D3430"/>
    <w:rsid w:val="2E5319E4"/>
    <w:rsid w:val="3804370B"/>
    <w:rsid w:val="3B1644CB"/>
    <w:rsid w:val="4F6F5ABF"/>
    <w:rsid w:val="5BCB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kern w:val="0"/>
      <w:sz w:val="24"/>
      <w:szCs w:val="21"/>
    </w:rPr>
  </w:style>
  <w:style w:type="paragraph" w:customStyle="1" w:styleId="8">
    <w:name w:val="Fließtext"/>
    <w:basedOn w:val="1"/>
    <w:qFormat/>
    <w:uiPriority w:val="0"/>
    <w:pPr>
      <w:overflowPunct w:val="0"/>
      <w:autoSpaceDE w:val="0"/>
      <w:autoSpaceDN w:val="0"/>
      <w:adjustRightInd w:val="0"/>
      <w:jc w:val="both"/>
      <w:textAlignment w:val="baseline"/>
    </w:pPr>
    <w:rPr>
      <w:kern w:val="28"/>
      <w:szCs w:val="20"/>
    </w:rPr>
  </w:style>
  <w:style w:type="paragraph" w:customStyle="1" w:styleId="9">
    <w:name w:val="Char"/>
    <w:basedOn w:val="1"/>
    <w:qFormat/>
    <w:uiPriority w:val="0"/>
  </w:style>
  <w:style w:type="character" w:customStyle="1" w:styleId="10">
    <w:name w:val="页眉 Char"/>
    <w:link w:val="4"/>
    <w:qFormat/>
    <w:uiPriority w:val="0"/>
    <w:rPr>
      <w:kern w:val="2"/>
      <w:sz w:val="18"/>
      <w:szCs w:val="18"/>
    </w:rPr>
  </w:style>
  <w:style w:type="character" w:customStyle="1" w:styleId="11">
    <w:name w:val="页脚 Char"/>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650</Words>
  <Characters>702</Characters>
  <Lines>3</Lines>
  <Paragraphs>1</Paragraphs>
  <TotalTime>1</TotalTime>
  <ScaleCrop>false</ScaleCrop>
  <LinksUpToDate>false</LinksUpToDate>
  <CharactersWithSpaces>706</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WPS_246705718</cp:lastModifiedBy>
  <cp:lastPrinted>2023-03-31T06:54:00Z</cp:lastPrinted>
  <dcterms:modified xsi:type="dcterms:W3CDTF">2024-07-15T01:54:02Z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FBA002DA40304EF88BBCE32371B4185F_13</vt:lpwstr>
  </property>
</Properties>
</file>