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1.竞买人应具备合格有效的独立法人资格的营业执照；</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2.竞买人须具备有效的不低于三级建筑工程施工总承包资质或不低于三级钢结构工程专业承包资质、《施工企业安全生产许可证》，并在人员、设备、资金等方面具有相应的施工能力；</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3.竞买人拟担任本转让项目的项目负责人须具备有效的不低于二级建筑工程专业注册建造师执业资格，并具备有效的安全生产考核合格证书（B证）；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rPr>
      </w:pPr>
      <w:r>
        <w:rPr>
          <w:rFonts w:hint="eastAsia" w:ascii="仿宋_GB2312" w:eastAsia="仿宋_GB2312"/>
          <w:sz w:val="30"/>
          <w:szCs w:val="30"/>
          <w:lang w:val="en-US" w:eastAsia="zh-CN"/>
        </w:rPr>
        <w:t>4.是否接受联合体竞买：不接受；</w:t>
      </w:r>
    </w:p>
    <w:p>
      <w:pPr>
        <w:rPr>
          <w:rFonts w:hint="eastAsia" w:ascii="宋体" w:hAnsi="宋体" w:eastAsia="宋体" w:cs="宋体"/>
          <w:b/>
          <w:bCs/>
          <w:sz w:val="30"/>
          <w:szCs w:val="30"/>
        </w:rPr>
      </w:pPr>
      <w:r>
        <w:rPr>
          <w:rFonts w:hint="eastAsia" w:ascii="宋体" w:hAnsi="宋体" w:eastAsia="宋体" w:cs="宋体"/>
          <w:b/>
          <w:bCs/>
          <w:sz w:val="30"/>
          <w:szCs w:val="30"/>
        </w:rPr>
        <w:t>二、应提交的材料</w:t>
      </w:r>
    </w:p>
    <w:p>
      <w:pPr>
        <w:numPr>
          <w:ilvl w:val="0"/>
          <w:numId w:val="1"/>
        </w:numPr>
        <w:ind w:left="0" w:leftChars="0"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统一社会信用代码证（原件校验+复印件）</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有效的不低于三级建筑工程施工总承包资质或不低于三级钢结构工程专业承包资质、《施工企业安全生产许可证》</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项目负责人须具备有效的不低于二级建筑工程专业注册建造师执业资格，并具备有效的安全生产考核合格证书（B证）；</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企业法人身份证（复印件）</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被委托人身份证（原件校验+复印件）</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r>
        <w:rPr>
          <w:rFonts w:hint="eastAsia" w:ascii="仿宋_GB2312" w:hAnsi="仿宋_GB2312" w:eastAsia="仿宋_GB2312" w:cs="仿宋_GB2312"/>
          <w:kern w:val="0"/>
          <w:sz w:val="30"/>
          <w:szCs w:val="30"/>
          <w:lang w:eastAsia="zh-CN"/>
        </w:rPr>
        <w:t>；</w:t>
      </w:r>
    </w:p>
    <w:p>
      <w:pPr>
        <w:rPr>
          <w:rFonts w:hint="eastAsia" w:ascii="宋体" w:hAnsi="宋体" w:eastAsia="宋体" w:cs="宋体"/>
          <w:b/>
          <w:bCs/>
          <w:sz w:val="30"/>
          <w:szCs w:val="30"/>
          <w:lang w:val="en-US" w:eastAsia="zh-CN"/>
        </w:rPr>
      </w:pPr>
    </w:p>
    <w:p>
      <w:p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三、转账信息</w:t>
      </w:r>
    </w:p>
    <w:p>
      <w:pPr>
        <w:ind w:firstLine="600" w:firstLineChars="200"/>
        <w:rPr>
          <w:rFonts w:hint="eastAsia" w:ascii="仿宋_GB2312" w:eastAsia="仿宋_GB2312"/>
          <w:sz w:val="30"/>
          <w:szCs w:val="30"/>
        </w:rPr>
      </w:pPr>
      <w:r>
        <w:rPr>
          <w:rFonts w:hint="eastAsia" w:ascii="仿宋_GB2312" w:eastAsia="仿宋_GB2312"/>
          <w:sz w:val="30"/>
          <w:szCs w:val="30"/>
        </w:rPr>
        <w:t>开户名称：南平市产权交易有限公司</w:t>
      </w:r>
    </w:p>
    <w:p>
      <w:pPr>
        <w:ind w:firstLine="600" w:firstLineChars="200"/>
        <w:rPr>
          <w:rFonts w:hint="eastAsia" w:ascii="仿宋_GB2312" w:eastAsia="仿宋_GB2312"/>
          <w:sz w:val="30"/>
          <w:szCs w:val="30"/>
          <w:lang w:eastAsia="zh-CN"/>
        </w:rPr>
      </w:pPr>
      <w:r>
        <w:rPr>
          <w:rFonts w:hint="eastAsia" w:ascii="仿宋_GB2312" w:eastAsia="仿宋_GB2312"/>
          <w:sz w:val="30"/>
          <w:szCs w:val="30"/>
        </w:rPr>
        <w:t>开户银行：</w:t>
      </w:r>
      <w:r>
        <w:rPr>
          <w:rFonts w:hint="eastAsia" w:ascii="仿宋_GB2312" w:eastAsia="仿宋_GB2312"/>
          <w:sz w:val="30"/>
          <w:szCs w:val="30"/>
          <w:lang w:eastAsia="zh-CN"/>
        </w:rPr>
        <w:t>厦门银行股份有限公司南平分行营业部</w:t>
      </w:r>
    </w:p>
    <w:p>
      <w:pPr>
        <w:ind w:firstLine="600" w:firstLineChars="200"/>
        <w:rPr>
          <w:rFonts w:hint="eastAsia" w:ascii="仿宋_GB2312" w:eastAsia="仿宋_GB2312"/>
          <w:sz w:val="30"/>
          <w:szCs w:val="30"/>
        </w:rPr>
      </w:pPr>
      <w:r>
        <w:rPr>
          <w:rFonts w:hint="eastAsia" w:ascii="仿宋_GB2312" w:eastAsia="仿宋_GB2312"/>
          <w:sz w:val="30"/>
          <w:szCs w:val="30"/>
        </w:rPr>
        <w:t>开户账号：8070</w:t>
      </w:r>
      <w:r>
        <w:rPr>
          <w:rFonts w:hint="eastAsia" w:ascii="仿宋_GB2312" w:eastAsia="仿宋_GB2312"/>
          <w:sz w:val="30"/>
          <w:szCs w:val="30"/>
          <w:lang w:val="en-US" w:eastAsia="zh-CN"/>
        </w:rPr>
        <w:t xml:space="preserve"> </w:t>
      </w:r>
      <w:r>
        <w:rPr>
          <w:rFonts w:hint="eastAsia" w:ascii="仿宋_GB2312" w:eastAsia="仿宋_GB2312"/>
          <w:sz w:val="30"/>
          <w:szCs w:val="30"/>
        </w:rPr>
        <w:t>2716</w:t>
      </w:r>
      <w:r>
        <w:rPr>
          <w:rFonts w:hint="eastAsia" w:ascii="仿宋_GB2312" w:eastAsia="仿宋_GB2312"/>
          <w:sz w:val="30"/>
          <w:szCs w:val="30"/>
          <w:lang w:val="en-US" w:eastAsia="zh-CN"/>
        </w:rPr>
        <w:t xml:space="preserve"> </w:t>
      </w:r>
      <w:r>
        <w:rPr>
          <w:rFonts w:hint="eastAsia" w:ascii="仿宋_GB2312" w:eastAsia="仿宋_GB2312"/>
          <w:sz w:val="30"/>
          <w:szCs w:val="30"/>
        </w:rPr>
        <w:t>0000</w:t>
      </w:r>
      <w:r>
        <w:rPr>
          <w:rFonts w:hint="eastAsia" w:ascii="仿宋_GB2312" w:eastAsia="仿宋_GB2312"/>
          <w:sz w:val="30"/>
          <w:szCs w:val="30"/>
          <w:lang w:val="en-US" w:eastAsia="zh-CN"/>
        </w:rPr>
        <w:t xml:space="preserve"> </w:t>
      </w:r>
      <w:r>
        <w:rPr>
          <w:rFonts w:hint="eastAsia" w:ascii="仿宋_GB2312" w:eastAsia="仿宋_GB2312"/>
          <w:sz w:val="30"/>
          <w:szCs w:val="30"/>
        </w:rPr>
        <w:t>06</w:t>
      </w:r>
    </w:p>
    <w:p>
      <w:pPr>
        <w:numPr>
          <w:ilvl w:val="0"/>
          <w:numId w:val="0"/>
        </w:numPr>
        <w:rPr>
          <w:rFonts w:hint="eastAsia" w:ascii="宋体" w:hAnsi="宋体" w:eastAsia="宋体" w:cs="宋体"/>
          <w:b/>
          <w:bCs/>
          <w:sz w:val="30"/>
          <w:szCs w:val="30"/>
          <w:lang w:val="en-US" w:eastAsia="zh-CN"/>
        </w:rPr>
      </w:pPr>
      <w:r>
        <w:rPr>
          <w:rFonts w:hint="eastAsia" w:ascii="宋体" w:hAnsi="宋体" w:eastAsia="宋体" w:cs="宋体"/>
          <w:b/>
          <w:bCs/>
          <w:kern w:val="2"/>
          <w:sz w:val="30"/>
          <w:szCs w:val="30"/>
          <w:lang w:val="en-US" w:eastAsia="zh-CN" w:bidi="ar-SA"/>
        </w:rPr>
        <w:t>四、</w:t>
      </w:r>
      <w:r>
        <w:rPr>
          <w:rFonts w:hint="eastAsia" w:ascii="宋体" w:hAnsi="宋体" w:eastAsia="宋体" w:cs="宋体"/>
          <w:b/>
          <w:bCs/>
          <w:sz w:val="30"/>
          <w:szCs w:val="30"/>
          <w:lang w:val="en-US" w:eastAsia="zh-CN"/>
        </w:rPr>
        <w:t>保证金</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4025"/>
        <w:gridCol w:w="1371"/>
        <w:gridCol w:w="1204"/>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58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sz w:val="24"/>
              </w:rPr>
            </w:pPr>
            <w:r>
              <w:rPr>
                <w:rFonts w:hint="eastAsia" w:ascii="仿宋_GB2312" w:eastAsia="仿宋_GB2312"/>
                <w:sz w:val="24"/>
              </w:rPr>
              <w:t>序号</w:t>
            </w:r>
          </w:p>
        </w:tc>
        <w:tc>
          <w:tcPr>
            <w:tcW w:w="2361"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sz w:val="24"/>
              </w:rPr>
            </w:pPr>
            <w:r>
              <w:rPr>
                <w:rFonts w:hint="eastAsia" w:ascii="仿宋_GB2312" w:eastAsia="仿宋_GB2312"/>
                <w:sz w:val="24"/>
              </w:rPr>
              <w:t>标的及项目编号</w:t>
            </w:r>
          </w:p>
        </w:tc>
        <w:tc>
          <w:tcPr>
            <w:tcW w:w="80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挂牌价（元）</w:t>
            </w:r>
          </w:p>
        </w:tc>
        <w:tc>
          <w:tcPr>
            <w:tcW w:w="706"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竞价保证金（元）</w:t>
            </w:r>
          </w:p>
        </w:tc>
        <w:tc>
          <w:tcPr>
            <w:tcW w:w="54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竞价方式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582" w:type="pct"/>
            <w:vMerge w:val="restart"/>
            <w:tcBorders>
              <w:top w:val="single" w:color="auto" w:sz="4" w:space="0"/>
              <w:left w:val="single" w:color="auto" w:sz="4" w:space="0"/>
              <w:right w:val="single" w:color="auto" w:sz="4" w:space="0"/>
            </w:tcBorders>
            <w:noWrap w:val="0"/>
            <w:vAlign w:val="center"/>
          </w:tcPr>
          <w:p>
            <w:pPr>
              <w:spacing w:line="520" w:lineRule="exact"/>
              <w:jc w:val="center"/>
              <w:rPr>
                <w:rFonts w:ascii="仿宋_GB2312" w:eastAsia="仿宋_GB2312"/>
                <w:b/>
                <w:bCs/>
                <w:color w:val="222222"/>
                <w:sz w:val="24"/>
              </w:rPr>
            </w:pPr>
            <w:r>
              <w:rPr>
                <w:rFonts w:hint="eastAsia" w:ascii="仿宋_GB2312" w:eastAsia="仿宋_GB2312"/>
                <w:b/>
                <w:bCs/>
                <w:color w:val="222222"/>
                <w:sz w:val="24"/>
              </w:rPr>
              <w:t>标的一</w:t>
            </w:r>
          </w:p>
        </w:tc>
        <w:tc>
          <w:tcPr>
            <w:tcW w:w="4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bCs/>
                <w:color w:val="222222"/>
                <w:sz w:val="24"/>
                <w:lang w:eastAsia="zh-CN"/>
              </w:rPr>
            </w:pPr>
            <w:r>
              <w:rPr>
                <w:rFonts w:hint="eastAsia" w:ascii="仿宋_GB2312" w:eastAsia="仿宋_GB2312"/>
                <w:bCs/>
                <w:color w:val="222222"/>
                <w:sz w:val="24"/>
                <w:lang w:eastAsia="zh-CN"/>
              </w:rPr>
              <w:t>武夷新区海西林产工贸城（原福建省正方金属制品有限公司）地面建筑物及苗木拆除残值整体转让</w:t>
            </w:r>
          </w:p>
        </w:tc>
        <w:tc>
          <w:tcPr>
            <w:tcW w:w="1371" w:type="dxa"/>
            <w:vMerge w:val="restart"/>
            <w:tcBorders>
              <w:top w:val="single" w:color="auto" w:sz="4" w:space="0"/>
              <w:left w:val="single" w:color="auto" w:sz="4" w:space="0"/>
              <w:right w:val="single" w:color="auto" w:sz="4" w:space="0"/>
            </w:tcBorders>
            <w:noWrap w:val="0"/>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1140000（不含税）</w:t>
            </w:r>
          </w:p>
        </w:tc>
        <w:tc>
          <w:tcPr>
            <w:tcW w:w="1204" w:type="dxa"/>
            <w:vMerge w:val="restart"/>
            <w:tcBorders>
              <w:top w:val="single" w:color="auto" w:sz="4" w:space="0"/>
              <w:left w:val="single" w:color="auto" w:sz="4" w:space="0"/>
              <w:right w:val="single" w:color="auto" w:sz="4" w:space="0"/>
            </w:tcBorders>
            <w:noWrap w:val="0"/>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340000</w:t>
            </w:r>
          </w:p>
        </w:tc>
        <w:tc>
          <w:tcPr>
            <w:tcW w:w="544" w:type="pct"/>
            <w:vMerge w:val="restart"/>
            <w:tcBorders>
              <w:top w:val="single" w:color="auto" w:sz="4" w:space="0"/>
              <w:left w:val="single" w:color="auto" w:sz="4" w:space="0"/>
              <w:right w:val="single" w:color="auto" w:sz="4" w:space="0"/>
            </w:tcBorders>
            <w:noWrap w:val="0"/>
            <w:vAlign w:val="center"/>
          </w:tcPr>
          <w:p>
            <w:pPr>
              <w:spacing w:line="400" w:lineRule="exact"/>
              <w:jc w:val="center"/>
              <w:rPr>
                <w:rFonts w:ascii="仿宋_GB2312" w:eastAsia="仿宋_GB2312"/>
                <w:b/>
                <w:sz w:val="24"/>
              </w:rPr>
            </w:pPr>
            <w:r>
              <w:rPr>
                <w:rFonts w:hint="eastAsia" w:ascii="仿宋_GB2312" w:eastAsia="仿宋_GB2312"/>
                <w:sz w:val="24"/>
              </w:rPr>
              <w:t>网络动态报价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582"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b/>
                <w:bCs/>
                <w:color w:val="222222"/>
                <w:sz w:val="24"/>
              </w:rPr>
            </w:pPr>
          </w:p>
        </w:tc>
        <w:tc>
          <w:tcPr>
            <w:tcW w:w="4025"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eastAsia="仿宋_GB2312"/>
                <w:bCs/>
                <w:color w:val="222222"/>
                <w:sz w:val="24"/>
                <w:lang w:eastAsia="zh-CN"/>
              </w:rPr>
            </w:pPr>
            <w:r>
              <w:rPr>
                <w:rFonts w:hint="eastAsia" w:ascii="仿宋_GB2312" w:eastAsia="仿宋_GB2312"/>
                <w:bCs/>
                <w:color w:val="222222"/>
                <w:sz w:val="24"/>
                <w:lang w:eastAsia="zh-CN"/>
              </w:rPr>
              <w:t xml:space="preserve">NPCJ(J)20240517-A079 </w:t>
            </w:r>
          </w:p>
        </w:tc>
        <w:tc>
          <w:tcPr>
            <w:tcW w:w="804"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c>
          <w:tcPr>
            <w:tcW w:w="706"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c>
          <w:tcPr>
            <w:tcW w:w="544"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r>
    </w:tbl>
    <w:p>
      <w:pPr>
        <w:numPr>
          <w:ilvl w:val="0"/>
          <w:numId w:val="0"/>
        </w:numPr>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五、截止时间</w:t>
      </w:r>
    </w:p>
    <w:p>
      <w:pPr>
        <w:numPr>
          <w:ilvl w:val="0"/>
          <w:numId w:val="0"/>
        </w:numPr>
        <w:ind w:firstLine="600" w:firstLineChars="200"/>
        <w:rPr>
          <w:rFonts w:ascii="仿宋_GB2312" w:eastAsia="仿宋_GB2312"/>
          <w:sz w:val="30"/>
          <w:szCs w:val="30"/>
        </w:rPr>
      </w:pPr>
      <w:r>
        <w:rPr>
          <w:rFonts w:hint="eastAsia" w:ascii="仿宋_GB2312" w:hAnsi="宋体" w:eastAsia="仿宋_GB2312" w:cs="宋体"/>
          <w:color w:val="FF0000"/>
          <w:sz w:val="30"/>
          <w:szCs w:val="30"/>
        </w:rPr>
        <w:t>202</w:t>
      </w:r>
      <w:r>
        <w:rPr>
          <w:rFonts w:hint="eastAsia" w:ascii="仿宋_GB2312" w:hAnsi="宋体" w:eastAsia="仿宋_GB2312" w:cs="宋体"/>
          <w:color w:val="FF0000"/>
          <w:sz w:val="30"/>
          <w:szCs w:val="30"/>
          <w:lang w:val="en-US" w:eastAsia="zh-CN"/>
        </w:rPr>
        <w:t>4</w:t>
      </w:r>
      <w:r>
        <w:rPr>
          <w:rFonts w:hint="eastAsia" w:ascii="仿宋_GB2312" w:hAnsi="宋体" w:eastAsia="仿宋_GB2312" w:cs="宋体"/>
          <w:color w:val="FF0000"/>
          <w:sz w:val="30"/>
          <w:szCs w:val="30"/>
        </w:rPr>
        <w:t>年</w:t>
      </w:r>
      <w:r>
        <w:rPr>
          <w:rFonts w:hint="eastAsia" w:ascii="仿宋_GB2312" w:hAnsi="宋体" w:eastAsia="仿宋_GB2312" w:cs="宋体"/>
          <w:color w:val="FF0000"/>
          <w:sz w:val="30"/>
          <w:szCs w:val="30"/>
          <w:lang w:val="en-US" w:eastAsia="zh-CN"/>
        </w:rPr>
        <w:t>6</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4</w:t>
      </w:r>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pPr>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w:t>
      </w:r>
      <w:r>
        <w:rPr>
          <w:rFonts w:ascii="仿宋_GB2312" w:hAnsi="宋体" w:eastAsia="仿宋_GB2312" w:cs="宋体"/>
          <w:b/>
          <w:color w:val="FF0000"/>
          <w:sz w:val="30"/>
          <w:szCs w:val="30"/>
        </w:rPr>
        <w:t>如有委托，</w:t>
      </w:r>
      <w:r>
        <w:rPr>
          <w:rFonts w:hint="eastAsia" w:ascii="仿宋_GB2312" w:hAnsi="宋体" w:eastAsia="仿宋_GB2312" w:cs="宋体"/>
          <w:b/>
          <w:color w:val="FF0000"/>
          <w:sz w:val="30"/>
          <w:szCs w:val="30"/>
        </w:rPr>
        <w:t>需要</w:t>
      </w:r>
      <w:r>
        <w:rPr>
          <w:rFonts w:ascii="仿宋_GB2312" w:hAnsi="宋体" w:eastAsia="仿宋_GB2312" w:cs="宋体"/>
          <w:b/>
          <w:color w:val="FF0000"/>
          <w:sz w:val="30"/>
          <w:szCs w:val="30"/>
        </w:rPr>
        <w:t>当面授权或</w:t>
      </w:r>
      <w:r>
        <w:rPr>
          <w:rFonts w:hint="eastAsia" w:ascii="仿宋_GB2312" w:hAnsi="宋体" w:eastAsia="仿宋_GB2312" w:cs="宋体"/>
          <w:b/>
          <w:color w:val="FF0000"/>
          <w:sz w:val="30"/>
          <w:szCs w:val="30"/>
        </w:rPr>
        <w:t>提供</w:t>
      </w:r>
      <w:r>
        <w:rPr>
          <w:rFonts w:ascii="仿宋_GB2312" w:hAnsi="宋体" w:eastAsia="仿宋_GB2312" w:cs="宋体"/>
          <w:b/>
          <w:color w:val="FF0000"/>
          <w:sz w:val="30"/>
          <w:szCs w:val="30"/>
        </w:rPr>
        <w:t>公证处</w:t>
      </w:r>
      <w:bookmarkStart w:id="0" w:name="_GoBack"/>
      <w:bookmarkEnd w:id="0"/>
      <w:r>
        <w:rPr>
          <w:rFonts w:hint="eastAsia" w:ascii="仿宋_GB2312" w:hAnsi="宋体" w:eastAsia="仿宋_GB2312" w:cs="宋体"/>
          <w:b/>
          <w:color w:val="FF0000"/>
          <w:sz w:val="30"/>
          <w:szCs w:val="30"/>
        </w:rPr>
        <w:t>公正。</w:t>
      </w:r>
    </w:p>
    <w:p>
      <w:pPr>
        <w:ind w:firstLine="602" w:firstLineChars="200"/>
        <w:rPr>
          <w:rFonts w:ascii="仿宋_GB2312" w:hAnsi="宋体" w:eastAsia="仿宋_GB2312" w:cs="宋体"/>
          <w:b/>
          <w:color w:val="FF0000"/>
          <w:sz w:val="30"/>
          <w:szCs w:val="30"/>
        </w:rPr>
      </w:pPr>
      <w:r>
        <w:rPr>
          <w:rFonts w:ascii="仿宋_GB2312" w:hAnsi="宋体" w:eastAsia="仿宋_GB2312" w:cs="宋体"/>
          <w:b/>
          <w:color w:val="FF0000"/>
          <w:sz w:val="30"/>
          <w:szCs w:val="30"/>
        </w:rPr>
        <w:t>2</w:t>
      </w:r>
      <w:r>
        <w:rPr>
          <w:rFonts w:hint="eastAsia" w:ascii="仿宋_GB2312" w:hAnsi="宋体" w:eastAsia="仿宋_GB2312" w:cs="宋体"/>
          <w:b/>
          <w:color w:val="FF0000"/>
          <w:sz w:val="30"/>
          <w:szCs w:val="30"/>
        </w:rPr>
        <w:t>、该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pPr>
        <w:ind w:firstLine="560" w:firstLineChars="200"/>
        <w:rPr>
          <w:sz w:val="28"/>
          <w:szCs w:val="28"/>
        </w:rPr>
      </w:pPr>
    </w:p>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29C8B"/>
    <w:multiLevelType w:val="singleLevel"/>
    <w:tmpl w:val="CBF29C8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ZiYmJmZTEzZjE4Nzk0NDAyYzk5Y2IxZWFhM2U1Nzk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22D345B6"/>
    <w:rsid w:val="2E2D3430"/>
    <w:rsid w:val="2E5319E4"/>
    <w:rsid w:val="4F6F5ABF"/>
    <w:rsid w:val="5BCB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jc w:val="both"/>
      <w:textAlignment w:val="baseline"/>
    </w:pPr>
    <w:rPr>
      <w:kern w:val="28"/>
      <w:szCs w:val="20"/>
    </w:rPr>
  </w:style>
  <w:style w:type="paragraph" w:styleId="3">
    <w:name w:val="Balloon Text"/>
    <w:basedOn w:val="1"/>
    <w:semiHidden/>
    <w:uiPriority w:val="0"/>
    <w:rPr>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kern w:val="0"/>
      <w:sz w:val="24"/>
      <w:szCs w:val="21"/>
    </w:rPr>
  </w:style>
  <w:style w:type="paragraph" w:customStyle="1" w:styleId="9">
    <w:name w:val="Char"/>
    <w:basedOn w:val="1"/>
    <w:qFormat/>
    <w:uiPriority w:val="0"/>
  </w:style>
  <w:style w:type="character" w:customStyle="1" w:styleId="10">
    <w:name w:val="页眉 Char"/>
    <w:link w:val="5"/>
    <w:uiPriority w:val="0"/>
    <w:rPr>
      <w:kern w:val="2"/>
      <w:sz w:val="18"/>
      <w:szCs w:val="18"/>
    </w:rPr>
  </w:style>
  <w:style w:type="character" w:customStyle="1" w:styleId="11">
    <w:name w:val="页脚 Char"/>
    <w:link w:val="4"/>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644</Words>
  <Characters>694</Characters>
  <Lines>3</Lines>
  <Paragraphs>1</Paragraphs>
  <TotalTime>0</TotalTime>
  <ScaleCrop>false</ScaleCrop>
  <LinksUpToDate>false</LinksUpToDate>
  <CharactersWithSpaces>699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WPS_246705718</cp:lastModifiedBy>
  <cp:lastPrinted>2023-03-31T06:54:00Z</cp:lastPrinted>
  <dcterms:modified xsi:type="dcterms:W3CDTF">2024-05-23T00:22:41Z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FBA002DA40304EF88BBCE32371B4185F_13</vt:lpwstr>
  </property>
</Properties>
</file>